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left"/>
        <w:textAlignment w:val="auto"/>
        <w:rPr>
          <w:rFonts w:hint="eastAsia" w:ascii="宋体" w:hAnsi="宋体" w:eastAsia="方正黑体_GBK" w:cs="方正黑体_GBK"/>
          <w:snapToGrid w:val="0"/>
          <w:color w:val="000000"/>
          <w:spacing w:val="0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 w:eastAsia="方正仿宋_GBK" w:cs="方正仿宋_GBK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方正黑体_GBK" w:cs="方正黑体_GBK"/>
          <w:snapToGrid w:val="0"/>
          <w:color w:val="000000"/>
          <w:spacing w:val="0"/>
          <w:kern w:val="2"/>
          <w:sz w:val="32"/>
          <w:szCs w:val="24"/>
          <w:highlight w:val="none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center"/>
        <w:textAlignment w:val="auto"/>
        <w:rPr>
          <w:rFonts w:hint="eastAsia" w:ascii="宋体" w:hAnsi="宋体" w:eastAsia="方正仿宋_GBK" w:cs="方正仿宋_GBK"/>
          <w:snapToGrid w:val="0"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center"/>
        <w:textAlignment w:val="auto"/>
        <w:rPr>
          <w:rFonts w:hint="eastAsia" w:ascii="宋体" w:hAnsi="宋体" w:eastAsia="方正小标宋_GBK" w:cs="方正小标宋_GBK"/>
          <w:snapToGrid w:val="0"/>
          <w:color w:val="000000"/>
          <w:spacing w:val="0"/>
          <w:kern w:val="2"/>
          <w:sz w:val="36"/>
          <w:szCs w:val="36"/>
          <w:highlight w:val="none"/>
          <w:lang w:val="en-US" w:eastAsia="zh-CN" w:bidi="ar-SA"/>
        </w:rPr>
      </w:pPr>
      <w:bookmarkStart w:id="0" w:name="_GoBack"/>
      <w:r>
        <w:rPr>
          <w:rFonts w:hint="eastAsia" w:ascii="宋体" w:hAnsi="宋体" w:eastAsia="方正小标宋_GBK" w:cs="方正小标宋_GBK"/>
          <w:snapToGrid w:val="0"/>
          <w:color w:val="000000"/>
          <w:spacing w:val="0"/>
          <w:kern w:val="2"/>
          <w:sz w:val="36"/>
          <w:szCs w:val="36"/>
          <w:highlight w:val="none"/>
          <w:lang w:val="en-US" w:eastAsia="zh-CN" w:bidi="ar-SA"/>
        </w:rPr>
        <w:t>大理州养老托育服务健康发展主要目标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center"/>
        <w:textAlignment w:val="auto"/>
        <w:rPr>
          <w:rFonts w:hint="eastAsia" w:ascii="宋体" w:hAnsi="宋体" w:eastAsia="方正仿宋_GBK" w:cs="方正仿宋_GBK"/>
          <w:snapToGrid w:val="0"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6144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snapToGrid w:val="0"/>
                <w:color w:val="000000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color w:val="000000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snapToGrid w:val="0"/>
                <w:color w:val="000000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color w:val="000000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指标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snapToGrid w:val="0"/>
                <w:color w:val="000000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color w:val="000000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2025年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snapToGrid w:val="0"/>
                <w:color w:val="000000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color w:val="000000"/>
                <w:spacing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目 标 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各县市新建城区、新建居住（小）区配套建设社区养老服务设施达标率（州房城乡建设局、州民政局负责）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护理型床位占养老机构床位总数比例（州卫生健康委、州民政局负责）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≥55%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社区日间照料机构覆盖率（州民政局负责）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生活不能自理特困人员集中供养率（州民政局负责）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≥60%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有集中供养意愿的特困人员集中供养率（州民政局负责）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居家适老化改造户数（特殊困难老年人家庭）（州民政局负责）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5000户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乡镇、街道建有老年学校占比（州民政局、州房城乡建设局负责）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医养结合优质服务单位（州卫生健康委负责）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三级中医医院设置康复科比例（州卫生健康委负责）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托育服务体系（州卫生健康委负责）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基本形成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每千人拥有3岁以下婴幼儿托位数（州卫生健康委负责）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婴幼儿早期发展知识普及率、家长及婴幼儿照护者接受科学育儿指导率（州卫生健康委负责）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养老服务机构消防安全标准化管理达标率（州消防支队负责）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aps w:val="0"/>
                <w:snapToGrid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100%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33AFE"/>
    <w:rsid w:val="20B33A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2021-09-30T07:23:00Z</dcterms:created>
  <dc:creator>bigyanghj1980</dc:creator>
  <cp:lastModifiedBy>bigyanghj1980</cp:lastModifiedBy>
  <dcterms:modified xsi:type="dcterms:W3CDTF">2021-09-30T07:25:53Z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