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left"/>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center"/>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大环审〔</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22号</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11"/>
          <w:sz w:val="44"/>
          <w:szCs w:val="44"/>
          <w:highlight w:val="none"/>
          <w:lang w:val="en-US" w:eastAsia="zh-CN"/>
        </w:rPr>
      </w:pPr>
      <w:r>
        <w:rPr>
          <w:rFonts w:hint="eastAsia" w:ascii="方正小标宋_GBK" w:hAnsi="方正小标宋_GBK" w:eastAsia="方正小标宋_GBK" w:cs="方正小标宋_GBK"/>
          <w:color w:val="auto"/>
          <w:spacing w:val="-11"/>
          <w:sz w:val="44"/>
          <w:szCs w:val="44"/>
          <w:highlight w:val="none"/>
          <w:lang w:val="en-US" w:eastAsia="zh-CN"/>
        </w:rPr>
        <w:t>大理白族自治州生态环境局</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11"/>
          <w:sz w:val="44"/>
          <w:szCs w:val="44"/>
          <w:highlight w:val="none"/>
          <w:lang w:val="en-US" w:eastAsia="zh-CN"/>
        </w:rPr>
      </w:pPr>
      <w:r>
        <w:rPr>
          <w:rFonts w:hint="eastAsia" w:ascii="方正小标宋_GBK" w:hAnsi="方正小标宋_GBK" w:eastAsia="方正小标宋_GBK" w:cs="方正小标宋_GBK"/>
          <w:color w:val="auto"/>
          <w:spacing w:val="-11"/>
          <w:sz w:val="44"/>
          <w:szCs w:val="44"/>
          <w:highlight w:val="none"/>
          <w:lang w:val="en-US" w:eastAsia="zh-CN"/>
        </w:rPr>
        <w:t>关于110kV大仓变二期工程</w:t>
      </w:r>
      <w:r>
        <w:rPr>
          <w:rFonts w:hint="eastAsia" w:ascii="方正小标宋_GBK" w:hAnsi="方正小标宋_GBK" w:eastAsia="方正小标宋_GBK" w:cs="方正小标宋_GBK"/>
          <w:color w:val="auto"/>
          <w:spacing w:val="-11"/>
          <w:sz w:val="44"/>
          <w:szCs w:val="44"/>
          <w:highlight w:val="none"/>
          <w:lang w:val="en-US" w:eastAsia="zh-CN"/>
        </w:rPr>
        <w:br w:type="textWrapping"/>
      </w:r>
      <w:r>
        <w:rPr>
          <w:rFonts w:hint="eastAsia" w:ascii="方正小标宋_GBK" w:hAnsi="方正小标宋_GBK" w:eastAsia="方正小标宋_GBK" w:cs="方正小标宋_GBK"/>
          <w:color w:val="auto"/>
          <w:spacing w:val="-11"/>
          <w:sz w:val="44"/>
          <w:szCs w:val="44"/>
          <w:highlight w:val="none"/>
          <w:lang w:val="en-US" w:eastAsia="zh-CN"/>
        </w:rPr>
        <w:t>环境影响报告表的批复</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云南电网有限责任公司大理供电局：</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你单位报批的《110kV大仓</w:t>
      </w:r>
      <w:bookmarkStart w:id="0" w:name="_GoBack"/>
      <w:bookmarkEnd w:id="0"/>
      <w:r>
        <w:rPr>
          <w:rFonts w:hint="eastAsia" w:ascii="仿宋_GB2312" w:hAnsi="仿宋_GB2312" w:eastAsia="仿宋_GB2312" w:cs="仿宋_GB2312"/>
          <w:color w:val="auto"/>
          <w:sz w:val="32"/>
          <w:szCs w:val="32"/>
          <w:highlight w:val="none"/>
          <w:lang w:val="en-US" w:eastAsia="zh-CN"/>
        </w:rPr>
        <w:t>变二期工程环境影响报告表》已收悉。根据大理州建设项目环境审核受理中心《关于110kV大仓变二期工程环境影响报告表的技术评估报告》（大环评估〔2</w:t>
      </w:r>
      <w:r>
        <w:rPr>
          <w:rFonts w:hint="default" w:ascii="仿宋_GB2312" w:hAnsi="仿宋_GB2312" w:eastAsia="仿宋_GB2312" w:cs="仿宋_GB2312"/>
          <w:color w:val="auto"/>
          <w:sz w:val="32"/>
          <w:szCs w:val="32"/>
          <w:highlight w:val="none"/>
          <w:lang w:eastAsia="zh-CN"/>
        </w:rPr>
        <w:t>02</w:t>
      </w:r>
      <w:r>
        <w:rPr>
          <w:rFonts w:hint="eastAsia" w:ascii="仿宋_GB2312" w:hAnsi="仿宋_GB2312" w:eastAsia="仿宋_GB2312" w:cs="仿宋_GB2312"/>
          <w:color w:val="auto"/>
          <w:sz w:val="32"/>
          <w:szCs w:val="32"/>
          <w:highlight w:val="none"/>
          <w:lang w:val="en-US" w:eastAsia="zh-CN"/>
        </w:rPr>
        <w:t>1〕21号）及大理州生态环境局巍山分局《关于110kV大仓变二期工程环境影响报告表的县级审查意见》（巍环发〔2</w:t>
      </w:r>
      <w:r>
        <w:rPr>
          <w:rFonts w:hint="default" w:ascii="仿宋_GB2312" w:hAnsi="仿宋_GB2312" w:eastAsia="仿宋_GB2312" w:cs="仿宋_GB2312"/>
          <w:color w:val="auto"/>
          <w:sz w:val="32"/>
          <w:szCs w:val="32"/>
          <w:highlight w:val="none"/>
          <w:lang w:eastAsia="zh-CN"/>
        </w:rPr>
        <w:t>02</w:t>
      </w:r>
      <w:r>
        <w:rPr>
          <w:rFonts w:hint="eastAsia" w:ascii="仿宋_GB2312" w:hAnsi="仿宋_GB2312" w:eastAsia="仿宋_GB2312" w:cs="仿宋_GB2312"/>
          <w:color w:val="auto"/>
          <w:sz w:val="32"/>
          <w:szCs w:val="32"/>
          <w:highlight w:val="none"/>
          <w:lang w:val="en-US" w:eastAsia="zh-CN"/>
        </w:rPr>
        <w:t>1〕8号），经研究，批复如下：</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lang w:val="zh-CN" w:eastAsia="zh-CN"/>
        </w:rPr>
      </w:pPr>
      <w:r>
        <w:rPr>
          <w:rFonts w:hint="eastAsia"/>
          <w:lang w:val="zh-CN" w:eastAsia="zh-CN"/>
        </w:rPr>
        <w:t>一、该项目（项目代码：2101-532900-04-01-426230）位于大理州巍山县，为扩建输变电工程。</w:t>
      </w:r>
      <w:r>
        <w:rPr>
          <w:rFonts w:hint="eastAsia"/>
          <w:lang w:val="en-US" w:eastAsia="zh-CN"/>
        </w:rPr>
        <w:t>建设内容为</w:t>
      </w:r>
      <w:r>
        <w:rPr>
          <w:rFonts w:hint="eastAsia"/>
          <w:lang w:val="zh-CN" w:eastAsia="zh-CN"/>
        </w:rPr>
        <w:t>新增一台1×40 MVA主变（2号主变），新增电容器组2×3MVar。本次工程在现有变电站围墙范围内进行建设，不涉及新增占地。工程总投资1810万元，其中环保投资11.04万元。</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lang w:val="zh-CN" w:eastAsia="zh-CN"/>
        </w:rPr>
      </w:pPr>
      <w:r>
        <w:rPr>
          <w:rFonts w:hint="eastAsia"/>
          <w:lang w:val="zh-CN" w:eastAsia="zh-CN"/>
        </w:rPr>
        <w:t>我局同意项目按照环境影响报告表中所述的地点、性质、规模和环境保护对策措施进行建设。项目须严格执行环境保护的有关法律法规，项目环境影响报告表应作为该项目环境保护设计、建设和运行管理的依据。</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lang w:val="zh-CN" w:eastAsia="zh-CN"/>
        </w:rPr>
      </w:pPr>
      <w:r>
        <w:rPr>
          <w:rFonts w:hint="eastAsia"/>
          <w:lang w:val="en-US" w:eastAsia="zh-CN"/>
        </w:rPr>
        <w:t>二、</w:t>
      </w:r>
      <w:r>
        <w:rPr>
          <w:rFonts w:hint="eastAsia"/>
          <w:lang w:val="zh-CN" w:eastAsia="zh-CN"/>
        </w:rPr>
        <w:t>项目在建设和运行过程中应重点做好以下工作</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lang w:val="zh-CN" w:eastAsia="zh-CN"/>
        </w:rPr>
      </w:pPr>
      <w:r>
        <w:rPr>
          <w:rFonts w:hint="eastAsia"/>
          <w:lang w:val="zh-CN" w:eastAsia="zh-CN"/>
        </w:rPr>
        <w:t>（</w:t>
      </w:r>
      <w:r>
        <w:rPr>
          <w:rFonts w:hint="eastAsia"/>
          <w:lang w:val="en-US" w:eastAsia="zh-CN"/>
        </w:rPr>
        <w:t>一</w:t>
      </w:r>
      <w:r>
        <w:rPr>
          <w:rFonts w:hint="eastAsia"/>
          <w:lang w:val="zh-CN" w:eastAsia="zh-CN"/>
        </w:rPr>
        <w:t xml:space="preserve">）加强施工期环境管理。严格落实报告表提出的施工期污染防治措施，在施工期期间采取洒水抑尘、围挡、选用低噪声施工设备和合理安排施工时段等措施，进一步降低施工扬尘、噪声对施工区域环境的影响。 </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lang w:val="zh-CN" w:eastAsia="zh-CN"/>
        </w:rPr>
      </w:pPr>
      <w:r>
        <w:rPr>
          <w:rFonts w:hint="eastAsia"/>
          <w:lang w:val="zh-CN" w:eastAsia="zh-CN"/>
        </w:rPr>
        <w:t>（二）加强变电站运行期管理，定期对变电站设施设备进行维护，确保变电站电磁环境及厂界噪声满足相应的标准要求，减轻对周围环境的影响。同时落实风险防范措施，防止发生环境风险事故。变电站内设置的事故油池，产生的废机油按照危废管理的要求妥善收集，并委托有危废处置资质的单位处理。</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lang w:val="zh-CN" w:eastAsia="zh-CN"/>
        </w:rPr>
      </w:pPr>
      <w:r>
        <w:rPr>
          <w:rFonts w:hint="eastAsia"/>
          <w:lang w:val="zh-CN" w:eastAsia="zh-CN"/>
        </w:rPr>
        <w:t>（三）强化设备运行管理，防止发生电磁超标影响。制定相应的监测计划，定期开展变电站电磁环境监测工作，若出现超标情况，必须立即采取有效措施，确保环境安全。</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lang w:val="zh-CN" w:eastAsia="zh-CN"/>
        </w:rPr>
      </w:pPr>
      <w:r>
        <w:rPr>
          <w:rFonts w:hint="eastAsia"/>
          <w:lang w:val="zh-CN" w:eastAsia="zh-CN"/>
        </w:rPr>
        <w:t>三、项目建成后，建设单位应向相关部门汇报，划定电力设施保护范围，在保护范围内禁止规划新建住房、厂房等敏感建筑物。制定项目运行期巡线管理制度及电磁环境监测计划，定期进行巡查和监测，发现电磁环境超标应立即采取措施并报告。加强线路管理，确保正常运行，保证电磁环境安全。</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lang w:val="zh-CN" w:eastAsia="zh-CN"/>
        </w:rPr>
      </w:pPr>
      <w:r>
        <w:rPr>
          <w:rFonts w:hint="eastAsia"/>
          <w:lang w:val="zh-CN" w:eastAsia="zh-CN"/>
        </w:rPr>
        <w:t>四、该项目环境影响报告表批准后，若项目建设性质、规模、工艺以及污染防治措施等发生重大变动，应重新开展环境影响评价工作并另行报批。项目环境影响报告表自批准之日起满五年，该项目方开工建设的，其环境影响报告表应当报我局重新审核。</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lang w:val="zh-CN" w:eastAsia="zh-CN"/>
        </w:rPr>
      </w:pPr>
      <w:r>
        <w:rPr>
          <w:rFonts w:hint="eastAsia"/>
          <w:lang w:val="zh-CN" w:eastAsia="zh-CN"/>
        </w:rPr>
        <w:t>五、建设单位应切实落实环境保护主体责任，项目建设及运行中应严格执行环境保护“三同时”制度。项目建成后按《建设项目竣工环境保护验收暂行办法》的相关要求组织竣工环境保护验收。</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lang w:val="zh-CN" w:eastAsia="zh-CN"/>
        </w:rPr>
      </w:pPr>
      <w:r>
        <w:rPr>
          <w:rFonts w:hint="eastAsia"/>
          <w:lang w:val="zh-CN" w:eastAsia="zh-CN"/>
        </w:rPr>
        <w:t>六、你单位接到本批复后10个工作日内，将批准后的报告表分送州生态环境保护综合行政执法支队和州生态环境局巍山分局，并按规定接受各级生态环境部门日常监督检查。</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lang w:val="zh-CN" w:eastAsia="zh-CN"/>
        </w:rPr>
      </w:pPr>
      <w:r>
        <w:rPr>
          <w:rFonts w:hint="eastAsia"/>
          <w:lang w:val="zh-CN" w:eastAsia="zh-CN"/>
        </w:rPr>
        <w:t>请州生态环境保护综合行政执法支队做好执法工作督促指导；州生态环境局巍山分局做好项目环境保护现场执法监察和日常监督管理工作。</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lang w:val="zh-CN" w:eastAsia="zh-CN"/>
        </w:rPr>
      </w:pP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lang w:val="zh-CN" w:eastAsia="zh-CN"/>
        </w:rPr>
      </w:pP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zh-CN" w:eastAsia="zh-CN"/>
        </w:rPr>
        <w:t>大理白族自治州</w:t>
      </w:r>
      <w:r>
        <w:rPr>
          <w:rFonts w:hint="eastAsia" w:ascii="仿宋_GB2312" w:hAnsi="仿宋_GB2312" w:eastAsia="仿宋_GB2312" w:cs="仿宋_GB2312"/>
          <w:color w:val="auto"/>
          <w:sz w:val="32"/>
          <w:szCs w:val="32"/>
          <w:highlight w:val="none"/>
          <w:lang w:val="en-US" w:eastAsia="zh-CN"/>
        </w:rPr>
        <w:t>生态环境</w:t>
      </w:r>
      <w:r>
        <w:rPr>
          <w:rFonts w:hint="eastAsia" w:ascii="仿宋_GB2312" w:hAnsi="仿宋_GB2312" w:eastAsia="仿宋_GB2312" w:cs="仿宋_GB2312"/>
          <w:color w:val="auto"/>
          <w:sz w:val="32"/>
          <w:szCs w:val="32"/>
          <w:highlight w:val="none"/>
          <w:lang w:val="zh-CN" w:eastAsia="zh-CN"/>
        </w:rPr>
        <w:t>局</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2021年9月6日</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仿宋_GB2312" w:eastAsia="仿宋_GB2312"/>
          <w:sz w:val="28"/>
          <w:szCs w:val="28"/>
        </w:rPr>
      </w:pPr>
    </w:p>
    <w:p>
      <w:pPr>
        <w:pStyle w:val="2"/>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eastAsia" w:ascii="仿宋_GB2312" w:eastAsia="仿宋_GB2312"/>
          <w:sz w:val="28"/>
          <w:szCs w:val="28"/>
        </w:rPr>
      </w:pPr>
    </w:p>
    <w:p>
      <w:pPr>
        <w:pStyle w:val="2"/>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eastAsia" w:ascii="仿宋_GB2312" w:eastAsia="仿宋_GB2312"/>
          <w:sz w:val="28"/>
          <w:szCs w:val="28"/>
        </w:rPr>
      </w:pPr>
    </w:p>
    <w:p>
      <w:pPr>
        <w:pStyle w:val="2"/>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eastAsia" w:ascii="仿宋_GB2312" w:eastAsia="仿宋_GB2312"/>
          <w:sz w:val="28"/>
          <w:szCs w:val="28"/>
        </w:rPr>
      </w:pPr>
    </w:p>
    <w:p>
      <w:pPr>
        <w:pStyle w:val="2"/>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eastAsia" w:ascii="仿宋_GB2312" w:eastAsia="仿宋_GB2312"/>
          <w:sz w:val="28"/>
          <w:szCs w:val="28"/>
        </w:rPr>
      </w:pPr>
    </w:p>
    <w:p>
      <w:pPr>
        <w:pStyle w:val="2"/>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eastAsia" w:ascii="仿宋_GB2312" w:eastAsia="仿宋_GB2312"/>
          <w:sz w:val="28"/>
          <w:szCs w:val="28"/>
        </w:rPr>
      </w:pPr>
    </w:p>
    <w:p>
      <w:pPr>
        <w:pStyle w:val="2"/>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eastAsia" w:ascii="仿宋_GB2312" w:eastAsia="仿宋_GB2312"/>
          <w:sz w:val="28"/>
          <w:szCs w:val="28"/>
        </w:rPr>
      </w:pPr>
    </w:p>
    <w:p>
      <w:pPr>
        <w:pStyle w:val="2"/>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eastAsia" w:ascii="仿宋_GB2312" w:eastAsia="仿宋_GB2312"/>
          <w:sz w:val="28"/>
          <w:szCs w:val="28"/>
        </w:rPr>
      </w:pPr>
    </w:p>
    <w:p>
      <w:pPr>
        <w:pStyle w:val="2"/>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eastAsia" w:ascii="仿宋_GB2312" w:eastAsia="仿宋_GB2312"/>
          <w:sz w:val="28"/>
          <w:szCs w:val="28"/>
        </w:rPr>
      </w:pPr>
    </w:p>
    <w:p>
      <w:pPr>
        <w:pStyle w:val="2"/>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600" w:lineRule="exact"/>
        <w:ind w:firstLine="268" w:firstLineChars="100"/>
        <w:jc w:val="both"/>
        <w:textAlignment w:val="auto"/>
        <w:outlineLvl w:val="9"/>
        <w:rPr>
          <w:rFonts w:hint="eastAsia" w:ascii="仿宋_GB2312" w:eastAsia="仿宋_GB2312"/>
          <w:spacing w:val="-6"/>
          <w:sz w:val="28"/>
          <w:szCs w:val="28"/>
        </w:rPr>
      </w:pPr>
      <w:r>
        <w:rPr>
          <w:rFonts w:hint="eastAsia" w:ascii="仿宋_GB2312" w:eastAsia="仿宋_GB2312"/>
          <w:spacing w:val="-6"/>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wp:posOffset>
                </wp:positionV>
                <wp:extent cx="5544185" cy="0"/>
                <wp:effectExtent l="0" t="0" r="0" b="0"/>
                <wp:wrapNone/>
                <wp:docPr id="2" name="直线 2"/>
                <wp:cNvGraphicFramePr/>
                <a:graphic xmlns:a="http://schemas.openxmlformats.org/drawingml/2006/main">
                  <a:graphicData uri="http://schemas.microsoft.com/office/word/2010/wordprocessingShape">
                    <wps:wsp>
                      <wps:cNvCnPr/>
                      <wps:spPr>
                        <a:xfrm flipV="1">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0.8pt;height:0pt;width:436.55pt;z-index:251658240;mso-width-relative:page;mso-height-relative:page;" filled="f" stroked="t" coordsize="21600,21600" o:gfxdata="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4hQofSAAAABAEAAA8AAAAAAAAAAQAgAAAAIgAA&#10;AGRycy9kb3ducmV2LnhtbFBLAQIUABQAAAAIAIdO4kAlbe6z1QEAAJgDAAAOAAAAAAAAAAEAIAAA&#10;ACEBAABkcnMvZTJvRG9jLnhtbFBLBQYAAAAABgAGAFkBAABoBQAAAAA=&#10;">
                <v:fill on="f" focussize="0,0"/>
                <v:stroke weight="0.99pt" color="#000000" joinstyle="round"/>
                <v:imagedata o:title=""/>
                <o:lock v:ext="edit" aspectratio="f"/>
              </v:line>
            </w:pict>
          </mc:Fallback>
        </mc:AlternateContent>
      </w:r>
      <w:r>
        <w:rPr>
          <w:rFonts w:hint="eastAsia" w:ascii="仿宋_GB2312" w:eastAsia="仿宋_GB2312"/>
          <w:spacing w:val="-6"/>
          <w:sz w:val="28"/>
          <w:szCs w:val="28"/>
        </w:rPr>
        <w:t>抄送：</w:t>
      </w:r>
      <w:r>
        <w:rPr>
          <w:rFonts w:hint="eastAsia" w:ascii="仿宋_GB2312" w:eastAsia="仿宋_GB2312"/>
          <w:spacing w:val="-6"/>
          <w:sz w:val="28"/>
          <w:szCs w:val="28"/>
          <w:lang w:val="en-US" w:eastAsia="zh-CN"/>
        </w:rPr>
        <w:t>州生态环境保护综合行政执法支队</w:t>
      </w:r>
      <w:r>
        <w:rPr>
          <w:rFonts w:hint="eastAsia" w:ascii="仿宋_GB2312" w:eastAsia="仿宋_GB2312"/>
          <w:spacing w:val="-6"/>
          <w:sz w:val="28"/>
          <w:szCs w:val="28"/>
        </w:rPr>
        <w:t>，州建设项目环境审核受理中心，</w:t>
      </w:r>
    </w:p>
    <w:p>
      <w:pPr>
        <w:keepNext w:val="0"/>
        <w:keepLines w:val="0"/>
        <w:pageBreakBefore w:val="0"/>
        <w:widowControl w:val="0"/>
        <w:kinsoku/>
        <w:wordWrap/>
        <w:overflowPunct/>
        <w:topLinePunct w:val="0"/>
        <w:autoSpaceDE/>
        <w:autoSpaceDN/>
        <w:bidi w:val="0"/>
        <w:adjustRightInd/>
        <w:snapToGrid w:val="0"/>
        <w:spacing w:line="600" w:lineRule="exact"/>
        <w:ind w:firstLine="1072" w:firstLineChars="400"/>
        <w:jc w:val="both"/>
        <w:textAlignment w:val="auto"/>
        <w:outlineLvl w:val="9"/>
        <w:rPr>
          <w:rFonts w:hint="eastAsia" w:ascii="仿宋_GB2312" w:eastAsia="仿宋_GB2312"/>
          <w:spacing w:val="-6"/>
          <w:sz w:val="28"/>
          <w:szCs w:val="28"/>
        </w:rPr>
      </w:pPr>
      <w:r>
        <w:rPr>
          <w:rFonts w:hint="eastAsia" w:ascii="仿宋_GB2312" w:eastAsia="仿宋_GB2312"/>
          <w:spacing w:val="-6"/>
          <w:sz w:val="28"/>
          <w:szCs w:val="28"/>
          <w:lang w:val="en-US" w:eastAsia="zh-CN"/>
        </w:rPr>
        <w:t>州生态环境</w:t>
      </w:r>
      <w:r>
        <w:rPr>
          <w:rFonts w:hint="eastAsia" w:ascii="仿宋_GB2312" w:eastAsia="仿宋_GB2312"/>
          <w:spacing w:val="-6"/>
          <w:sz w:val="28"/>
          <w:szCs w:val="28"/>
        </w:rPr>
        <w:t>局</w:t>
      </w:r>
      <w:r>
        <w:rPr>
          <w:rFonts w:hint="eastAsia" w:ascii="仿宋_GB2312" w:eastAsia="仿宋_GB2312"/>
          <w:spacing w:val="-6"/>
          <w:sz w:val="28"/>
          <w:szCs w:val="28"/>
          <w:lang w:val="en-US" w:eastAsia="zh-CN"/>
        </w:rPr>
        <w:t>巍山分局，四川省核工业辐射测试防护院</w:t>
      </w:r>
      <w:r>
        <w:rPr>
          <w:rFonts w:hint="eastAsia" w:ascii="仿宋_GB2312" w:eastAsia="仿宋_GB2312"/>
          <w:spacing w:val="-6"/>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04" w:rightChars="97" w:firstLine="280" w:firstLineChars="1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5544185" cy="0"/>
                <wp:effectExtent l="0" t="0" r="0" b="0"/>
                <wp:wrapNone/>
                <wp:docPr id="1" name="直线 3"/>
                <wp:cNvGraphicFramePr/>
                <a:graphic xmlns:a="http://schemas.openxmlformats.org/drawingml/2006/main">
                  <a:graphicData uri="http://schemas.microsoft.com/office/word/2010/wordprocessingShape">
                    <wps:wsp>
                      <wps:cNvCnPr/>
                      <wps:spPr>
                        <a:xfrm>
                          <a:off x="0" y="0"/>
                          <a:ext cx="5544185"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4pt;height:0pt;width:436.55pt;z-index:251659264;mso-width-relative:page;mso-height-relative:page;" filled="f" stroked="t" coordsize="21600,21600" o:gfxdata="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KY2sP1AAAAAQBAAAPAAAAAAAAAAEAIAAAACIAAABkcnMv&#10;ZG93bnJldi54bWxQSwECFAAUAAAACACHTuJA64Yras4BAACNAwAADgAAAAAAAAABACAAAAAjAQAA&#10;ZHJzL2Uyb0RvYy54bWxQSwUGAAAAAAYABgBZAQAAYwUAAAAA&#10;">
                <v:fill on="f" focussize="0,0"/>
                <v:stroke weight="0.71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388620</wp:posOffset>
                </wp:positionV>
                <wp:extent cx="5544185" cy="0"/>
                <wp:effectExtent l="0" t="0" r="0" b="0"/>
                <wp:wrapNone/>
                <wp:docPr id="3" name="直线 4"/>
                <wp:cNvGraphicFramePr/>
                <a:graphic xmlns:a="http://schemas.openxmlformats.org/drawingml/2006/main">
                  <a:graphicData uri="http://schemas.microsoft.com/office/word/2010/wordprocessingShape">
                    <wps:wsp>
                      <wps:cNvCnPr/>
                      <wps:spPr>
                        <a:xfrm>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0.6pt;height:0pt;width:436.55pt;z-index:251660288;mso-width-relative:page;mso-height-relative:page;" filled="f" stroked="t" coordsize="21600,21600" o:gfxdata="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ubPgtEAAAAGAQAADwAAAAAAAAABACAAAAAiAAAAZHJzL2Rv&#10;d25yZXYueG1sUEsBAhQAFAAAAAgAh07iQAqJs9TPAQAAjgMAAA4AAAAAAAAAAQAgAAAAIAEAAGRy&#10;cy9lMm9Eb2MueG1sUEsFBgAAAAAGAAYAWQEAAGEFAAAAAA==&#10;">
                <v:fill on="f" focussize="0,0"/>
                <v:stroke weight="0.99pt" color="#000000" joinstyle="round"/>
                <v:imagedata o:title=""/>
                <o:lock v:ext="edit" aspectratio="f"/>
              </v:line>
            </w:pict>
          </mc:Fallback>
        </mc:AlternateContent>
      </w:r>
      <w:r>
        <w:rPr>
          <w:rFonts w:hint="eastAsia" w:ascii="仿宋_GB2312" w:eastAsia="仿宋_GB2312"/>
          <w:sz w:val="28"/>
          <w:szCs w:val="28"/>
        </w:rPr>
        <w:t>大理白族自治州</w:t>
      </w:r>
      <w:r>
        <w:rPr>
          <w:rFonts w:hint="eastAsia" w:ascii="仿宋_GB2312" w:eastAsia="仿宋_GB2312"/>
          <w:sz w:val="28"/>
          <w:szCs w:val="28"/>
          <w:lang w:val="en-US" w:eastAsia="zh-CN"/>
        </w:rPr>
        <w:t>生态环境</w:t>
      </w:r>
      <w:r>
        <w:rPr>
          <w:rFonts w:hint="eastAsia" w:ascii="仿宋_GB2312" w:eastAsia="仿宋_GB2312"/>
          <w:sz w:val="28"/>
          <w:szCs w:val="28"/>
        </w:rPr>
        <w:t xml:space="preserve">局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6</w:t>
      </w:r>
      <w:r>
        <w:rPr>
          <w:rFonts w:hint="eastAsia" w:ascii="仿宋_GB2312" w:eastAsia="仿宋_GB2312"/>
          <w:sz w:val="28"/>
          <w:szCs w:val="28"/>
        </w:rPr>
        <w:t>日印发</w:t>
      </w:r>
    </w:p>
    <w:sectPr>
      <w:headerReference r:id="rId3" w:type="default"/>
      <w:footerReference r:id="rId4" w:type="default"/>
      <w:pgSz w:w="11906" w:h="16838"/>
      <w:pgMar w:top="2041" w:right="1531" w:bottom="2041" w:left="1531"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-447675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5.25pt;height:144pt;width:144pt;mso-position-horizontal:outside;mso-position-horizontal-relative:margin;mso-wrap-style:none;z-index:251659264;mso-width-relative:page;mso-height-relative:page;" filled="f" stroked="f" coordsize="21600,21600" o:gfxdata="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9fT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zCAnr1gAAAAgBAAAPAAAAAAAA&#10;AAEAIAAAACIAAABkcnMvZG93bnJldi54bWxQSwECFAAUAAAACACHTuJAXtCZFRQCAAATBAAADgAA&#10;AAAAAAABACAAAAAlAQAAZHJzL2Uyb0RvYy54bWxQSwUGAAAAAAYABgBZAQAAq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93B3A"/>
    <w:rsid w:val="00180224"/>
    <w:rsid w:val="06950A6F"/>
    <w:rsid w:val="08CD0513"/>
    <w:rsid w:val="08D70FEB"/>
    <w:rsid w:val="0A370155"/>
    <w:rsid w:val="0AF7713C"/>
    <w:rsid w:val="0F385385"/>
    <w:rsid w:val="10205339"/>
    <w:rsid w:val="12A13EC1"/>
    <w:rsid w:val="12AF6B27"/>
    <w:rsid w:val="1B9F9DDD"/>
    <w:rsid w:val="1D4764FC"/>
    <w:rsid w:val="211232C8"/>
    <w:rsid w:val="27995BCE"/>
    <w:rsid w:val="29BB5CC1"/>
    <w:rsid w:val="2BEB055B"/>
    <w:rsid w:val="2E4572A2"/>
    <w:rsid w:val="37834925"/>
    <w:rsid w:val="396518F3"/>
    <w:rsid w:val="3A293B3A"/>
    <w:rsid w:val="3D4E6E18"/>
    <w:rsid w:val="41D8751C"/>
    <w:rsid w:val="42986DCE"/>
    <w:rsid w:val="44E953AF"/>
    <w:rsid w:val="4B920A9B"/>
    <w:rsid w:val="4D8052E0"/>
    <w:rsid w:val="52B32E75"/>
    <w:rsid w:val="54407DEE"/>
    <w:rsid w:val="56285468"/>
    <w:rsid w:val="57327B94"/>
    <w:rsid w:val="5FF11E96"/>
    <w:rsid w:val="60422F4E"/>
    <w:rsid w:val="60AF1FB7"/>
    <w:rsid w:val="60B150CA"/>
    <w:rsid w:val="6267116A"/>
    <w:rsid w:val="64420152"/>
    <w:rsid w:val="64A17E42"/>
    <w:rsid w:val="667F3A34"/>
    <w:rsid w:val="68274729"/>
    <w:rsid w:val="69C353B8"/>
    <w:rsid w:val="6E15501A"/>
    <w:rsid w:val="6FEF1548"/>
    <w:rsid w:val="72642221"/>
    <w:rsid w:val="72C24E39"/>
    <w:rsid w:val="737C637C"/>
    <w:rsid w:val="75EB40D0"/>
    <w:rsid w:val="79FF67BE"/>
    <w:rsid w:val="7CE50C42"/>
    <w:rsid w:val="7DCE1CB5"/>
    <w:rsid w:val="7DFEB0C1"/>
    <w:rsid w:val="7F6E2F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580" w:lineRule="exact"/>
      <w:ind w:firstLine="640" w:firstLineChars="200"/>
    </w:pPr>
    <w:rPr>
      <w:rFonts w:ascii="仿宋_GB2312" w:hAnsi="宋体" w:eastAsia="仿宋_GB2312"/>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paragraph" w:customStyle="1" w:styleId="9">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2019-03-11T10:03:00Z</dcterms:created>
  <dc:creator>系统管理员</dc:creator>
  <cp:lastModifiedBy>JianPai</cp:lastModifiedBy>
  <cp:lastPrinted>2021-03-23T03:14:00Z</cp:lastPrinted>
  <dcterms:modified xsi:type="dcterms:W3CDTF">2021-09-06T06:57:15Z</dcterms:modified>
  <dc:title>大环审〔2020〕6号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