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97" w:lineRule="exac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附件1</w:t>
      </w:r>
    </w:p>
    <w:p>
      <w:pPr>
        <w:pStyle w:val="2"/>
        <w:overflowPunct w:val="0"/>
        <w:adjustRightInd w:val="0"/>
        <w:snapToGrid w:val="0"/>
        <w:spacing w:line="597" w:lineRule="exact"/>
        <w:ind w:left="0" w:leftChars="0" w:firstLine="0" w:firstLineChars="0"/>
        <w:jc w:val="center"/>
        <w:rPr>
          <w:rFonts w:hint="eastAsia" w:ascii="方正小标宋_GBK" w:hAnsi="方正小标宋_GBK" w:eastAsia="方正小标宋_GBK" w:cs="方正小标宋_GBK"/>
          <w:color w:val="auto"/>
          <w:sz w:val="36"/>
          <w:szCs w:val="36"/>
        </w:rPr>
      </w:pPr>
      <w:bookmarkStart w:id="0" w:name="_GoBack"/>
      <w:r>
        <w:rPr>
          <w:rFonts w:hint="eastAsia" w:ascii="方正小标宋_GBK" w:hAnsi="方正小标宋_GBK" w:eastAsia="方正小标宋_GBK" w:cs="方正小标宋_GBK"/>
          <w:color w:val="auto"/>
          <w:sz w:val="36"/>
          <w:szCs w:val="36"/>
        </w:rPr>
        <w:t>创建指标体系达标任务分解表</w:t>
      </w:r>
    </w:p>
    <w:bookmarkEnd w:id="0"/>
    <w:tbl>
      <w:tblPr>
        <w:tblStyle w:val="4"/>
        <w:tblW w:w="10103"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409"/>
        <w:gridCol w:w="421"/>
        <w:gridCol w:w="1457"/>
        <w:gridCol w:w="1860"/>
        <w:gridCol w:w="2052"/>
        <w:gridCol w:w="1836"/>
        <w:gridCol w:w="876"/>
        <w:gridCol w:w="119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113" w:hRule="atLeast"/>
          <w:tblHeader/>
          <w:jc w:val="center"/>
        </w:trPr>
        <w:tc>
          <w:tcPr>
            <w:tcW w:w="409"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b/>
                <w:bCs/>
                <w:color w:val="auto"/>
                <w:sz w:val="24"/>
                <w:szCs w:val="24"/>
              </w:rPr>
            </w:pPr>
            <w:r>
              <w:rPr>
                <w:rFonts w:hint="eastAsia" w:ascii="宋体" w:hAnsi="宋体" w:eastAsia="方正仿宋_GBK" w:cs="方正仿宋_GBK"/>
                <w:b/>
                <w:bCs/>
                <w:color w:val="auto"/>
                <w:kern w:val="0"/>
                <w:sz w:val="24"/>
                <w:szCs w:val="24"/>
                <w:lang w:bidi="ar"/>
              </w:rPr>
              <w:t>纬度</w:t>
            </w:r>
          </w:p>
        </w:tc>
        <w:tc>
          <w:tcPr>
            <w:tcW w:w="1878" w:type="dxa"/>
            <w:gridSpan w:val="2"/>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b/>
                <w:bCs/>
                <w:color w:val="auto"/>
                <w:sz w:val="24"/>
                <w:szCs w:val="24"/>
              </w:rPr>
            </w:pPr>
            <w:r>
              <w:rPr>
                <w:rFonts w:hint="eastAsia" w:ascii="宋体" w:hAnsi="宋体" w:eastAsia="方正仿宋_GBK" w:cs="方正仿宋_GBK"/>
                <w:b/>
                <w:bCs/>
                <w:color w:val="auto"/>
                <w:kern w:val="0"/>
                <w:sz w:val="24"/>
                <w:szCs w:val="24"/>
                <w:lang w:bidi="ar"/>
              </w:rPr>
              <w:t>具体指标</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b/>
                <w:bCs/>
                <w:color w:val="auto"/>
                <w:sz w:val="24"/>
                <w:szCs w:val="24"/>
              </w:rPr>
            </w:pPr>
            <w:r>
              <w:rPr>
                <w:rFonts w:hint="eastAsia" w:ascii="宋体" w:hAnsi="宋体" w:eastAsia="方正仿宋_GBK" w:cs="方正仿宋_GBK"/>
                <w:b/>
                <w:bCs/>
                <w:color w:val="auto"/>
                <w:kern w:val="0"/>
                <w:sz w:val="24"/>
                <w:szCs w:val="24"/>
                <w:lang w:bidi="ar"/>
              </w:rPr>
              <w:t>2019年</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b/>
                <w:bCs/>
                <w:color w:val="auto"/>
                <w:kern w:val="0"/>
                <w:sz w:val="24"/>
                <w:szCs w:val="24"/>
                <w:lang w:bidi="ar"/>
              </w:rPr>
            </w:pPr>
            <w:r>
              <w:rPr>
                <w:rFonts w:hint="eastAsia" w:ascii="宋体" w:hAnsi="宋体" w:eastAsia="方正仿宋_GBK" w:cs="方正仿宋_GBK"/>
                <w:b/>
                <w:bCs/>
                <w:color w:val="auto"/>
                <w:kern w:val="0"/>
                <w:sz w:val="24"/>
                <w:szCs w:val="24"/>
                <w:lang w:bidi="ar"/>
              </w:rPr>
              <w:t>2021年</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b/>
                <w:bCs/>
                <w:color w:val="auto"/>
                <w:sz w:val="24"/>
                <w:szCs w:val="24"/>
              </w:rPr>
            </w:pPr>
            <w:r>
              <w:rPr>
                <w:rFonts w:hint="eastAsia" w:ascii="宋体" w:hAnsi="宋体" w:eastAsia="方正仿宋_GBK" w:cs="方正仿宋_GBK"/>
                <w:b/>
                <w:bCs/>
                <w:color w:val="auto"/>
                <w:kern w:val="0"/>
                <w:sz w:val="24"/>
                <w:szCs w:val="24"/>
                <w:lang w:bidi="ar"/>
              </w:rPr>
              <w:t>2022年</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b/>
                <w:bCs/>
                <w:color w:val="auto"/>
                <w:sz w:val="24"/>
                <w:szCs w:val="24"/>
              </w:rPr>
            </w:pPr>
            <w:r>
              <w:rPr>
                <w:rFonts w:hint="eastAsia" w:ascii="宋体" w:hAnsi="宋体" w:eastAsia="方正仿宋_GBK" w:cs="方正仿宋_GBK"/>
                <w:b/>
                <w:bCs/>
                <w:color w:val="auto"/>
                <w:kern w:val="0"/>
                <w:sz w:val="24"/>
                <w:szCs w:val="24"/>
                <w:lang w:bidi="ar"/>
              </w:rPr>
              <w:t>备注</w:t>
            </w: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b/>
                <w:bCs/>
                <w:color w:val="auto"/>
                <w:kern w:val="0"/>
                <w:sz w:val="24"/>
                <w:szCs w:val="24"/>
                <w:lang w:bidi="ar"/>
              </w:rPr>
            </w:pPr>
            <w:r>
              <w:rPr>
                <w:rFonts w:hint="eastAsia" w:ascii="宋体" w:hAnsi="宋体" w:eastAsia="方正仿宋_GBK" w:cs="方正仿宋_GBK"/>
                <w:b/>
                <w:bCs/>
                <w:color w:val="auto"/>
                <w:kern w:val="0"/>
                <w:sz w:val="24"/>
                <w:szCs w:val="24"/>
                <w:lang w:bidi="ar"/>
              </w:rPr>
              <w:t>责任</w:t>
            </w:r>
          </w:p>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b/>
                <w:bCs/>
                <w:color w:val="auto"/>
                <w:kern w:val="0"/>
                <w:sz w:val="24"/>
                <w:szCs w:val="24"/>
                <w:lang w:bidi="ar"/>
              </w:rPr>
            </w:pPr>
            <w:r>
              <w:rPr>
                <w:rFonts w:hint="eastAsia" w:ascii="宋体" w:hAnsi="宋体" w:eastAsia="方正仿宋_GBK" w:cs="方正仿宋_GBK"/>
                <w:b/>
                <w:bCs/>
                <w:color w:val="auto"/>
                <w:kern w:val="0"/>
                <w:sz w:val="24"/>
                <w:szCs w:val="24"/>
                <w:lang w:bidi="ar"/>
              </w:rPr>
              <w:t>部门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113" w:hRule="atLeast"/>
          <w:jc w:val="center"/>
        </w:trPr>
        <w:tc>
          <w:tcPr>
            <w:tcW w:w="409" w:type="dxa"/>
            <w:vMerge w:val="restart"/>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文化体验度</w:t>
            </w: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1</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文旅活动举办次数</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2057</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2253</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2450</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州文化和旅游局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113"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2</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文化企业数量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2321（2018年）</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2553</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2785</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州市场监督管理局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113"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3</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专利数量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239</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250</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270</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累计数</w:t>
            </w: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4</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文化类注册商标数量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730</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750</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770</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累计数</w:t>
            </w: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5</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中华老字号品牌数量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中华老字号1家，云南老字号7家（其中2家正在公示期）</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中华老字号1家，云南老字号10家</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中华老字号2家，云南老字号11家</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州商务局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672"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6</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文化娱乐场所数量</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76个</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81</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85个</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州文化和旅游局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6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kern w:val="0"/>
                <w:sz w:val="24"/>
                <w:szCs w:val="24"/>
                <w:lang w:bidi="ar"/>
              </w:rPr>
            </w:pPr>
            <w:r>
              <w:rPr>
                <w:rFonts w:hint="eastAsia" w:ascii="宋体" w:hAnsi="宋体" w:eastAsia="方正仿宋_GBK" w:cs="方正仿宋_GBK"/>
                <w:color w:val="auto"/>
                <w:kern w:val="0"/>
                <w:sz w:val="24"/>
                <w:szCs w:val="24"/>
                <w:lang w:bidi="ar"/>
              </w:rPr>
              <w:t>7</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kern w:val="0"/>
                <w:sz w:val="24"/>
                <w:szCs w:val="24"/>
                <w:lang w:bidi="ar"/>
              </w:rPr>
            </w:pPr>
            <w:r>
              <w:rPr>
                <w:rFonts w:hint="eastAsia" w:ascii="宋体" w:hAnsi="宋体" w:eastAsia="方正仿宋_GBK" w:cs="方正仿宋_GBK"/>
                <w:color w:val="auto"/>
                <w:kern w:val="0"/>
                <w:sz w:val="24"/>
                <w:szCs w:val="24"/>
                <w:lang w:bidi="ar"/>
              </w:rPr>
              <w:t>文化消费设施建设情况</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大理建有18个博物馆，村（社区）级综合文化服务中心1151个、文化活动广场1000余块，文艺院团8个，农村文艺队伍5000余支，10个文体商旅综合体。</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18个博物馆，村（社区）级综合文化服务中心1156个、文化活动广场1005余块，文艺院团8个，农村文艺队伍5000余支，10个文体商旅综合体。</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19个博物馆，村（社区）级综合文化服务中心1161个、文化活动广场1010余块，文艺院团8个，农村文艺队伍5000余支，11个文体商旅综合体。</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州文化和旅游局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1252"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8</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省级以上文化产业园区、基地数量</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3个省级文化园区</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5个以上省级</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1个以上国家级，8个以上省级</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州文化和旅游局、州工业和信息化局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6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9</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人均剧场数及座位数</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人均剧场0.21个/万人、人均座位数152.57个/万人</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人均剧场0.215个/万人、人均座位数155个/万人</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人均剧场0.22个/万人、人均座位数157个/万人</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州文化和旅游局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10</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大型文化演出场次</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1077</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1178</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1280</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11</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文化产业对GDP综合贡献率</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4.04%（2018年）</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4.25%</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4.4%</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lang w:eastAsia="zh-CN"/>
              </w:rPr>
            </w:pPr>
            <w:r>
              <w:rPr>
                <w:rFonts w:hint="eastAsia" w:ascii="宋体" w:hAnsi="宋体" w:eastAsia="方正仿宋_GBK" w:cs="方正仿宋_GBK"/>
                <w:color w:val="auto"/>
                <w:sz w:val="24"/>
                <w:szCs w:val="24"/>
                <w:lang w:eastAsia="zh-CN"/>
              </w:rPr>
              <w:t>相关部门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6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12</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城镇居民文化娱乐支出占消费支出比重及增速</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比重5.7%，增速57%</w:t>
            </w:r>
          </w:p>
        </w:tc>
        <w:tc>
          <w:tcPr>
            <w:tcW w:w="2052" w:type="dxa"/>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居民人均文化娱乐支出占消费支出比例达5%以上</w:t>
            </w:r>
          </w:p>
        </w:tc>
        <w:tc>
          <w:tcPr>
            <w:tcW w:w="1836" w:type="dxa"/>
            <w:vMerge w:val="restart"/>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b/>
                <w:bCs/>
                <w:color w:val="auto"/>
                <w:sz w:val="24"/>
                <w:szCs w:val="24"/>
              </w:rPr>
            </w:pPr>
            <w:r>
              <w:rPr>
                <w:rFonts w:hint="eastAsia" w:ascii="宋体" w:hAnsi="宋体" w:eastAsia="方正仿宋_GBK" w:cs="方正仿宋_GBK"/>
                <w:b w:val="0"/>
                <w:bCs w:val="0"/>
                <w:color w:val="auto"/>
                <w:sz w:val="24"/>
                <w:szCs w:val="24"/>
              </w:rPr>
              <w:t>居民人均文化娱乐支出占消费支出比例超过6%</w:t>
            </w:r>
          </w:p>
        </w:tc>
        <w:tc>
          <w:tcPr>
            <w:tcW w:w="876" w:type="dxa"/>
            <w:vMerge w:val="restart"/>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b/>
                <w:bCs/>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b/>
                <w:bCs/>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6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13</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农村居民文化娱乐支出占消费支出比重及增速</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比重1.5%，增速-24%</w:t>
            </w:r>
          </w:p>
        </w:tc>
        <w:tc>
          <w:tcPr>
            <w:tcW w:w="205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1836"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876"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14</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文化产业增加值</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31.97亿元（2018）</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32亿元</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32.1亿元</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1029" w:hRule="atLeast"/>
          <w:jc w:val="center"/>
        </w:trPr>
        <w:tc>
          <w:tcPr>
            <w:tcW w:w="409" w:type="dxa"/>
            <w:vMerge w:val="restart"/>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旅游聚集度</w:t>
            </w: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15</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4A级以上景区、省级以上度假区数量</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4A级以上景区13家，省级以上度假区4家</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4A级以上景区14家，省级以上度假区5家</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4A级以上景区15家，省级以上度假区6家</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州文化和旅游局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718"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16</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4星级以上酒店数量</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4星以上9家，高端酒店4家</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4星以上11家，高端酒店6家</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4星以上14家，高端酒店8家</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6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17</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高品质民宿数量</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500余家</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550家以上</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600家以上</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18</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导游人数</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1294人</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1527人</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1760人</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19</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游客投诉率</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0.1566</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0.12</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0.1</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万人投诉率</w:t>
            </w: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84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20</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游客满意度</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9.5</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9.6</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9.7</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10分为满分</w:t>
            </w: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479"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21</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游客重游率</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32.5%</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33.5%</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超过35%</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22</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平均停留时间</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2.64天</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2.6天</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2.7天</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23</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2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涉旅产业对GDP综合贡献率</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19%</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20%</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21%</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24</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2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重大展会活动与赛事数量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15场</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20场</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25场</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25</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旅游就业人数</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25万</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29万</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32万</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9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26</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旅游产业增加值</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268.11亿元</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270亿元</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300亿元</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27</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旅游诚信标准体系</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7032家</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7736家</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8439家</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纳入企业</w:t>
            </w: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90" w:hRule="atLeast"/>
          <w:jc w:val="center"/>
        </w:trPr>
        <w:tc>
          <w:tcPr>
            <w:tcW w:w="409" w:type="dxa"/>
            <w:vMerge w:val="restart"/>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城市繁荣度</w:t>
            </w: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28</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GDP</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1374.9亿元</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1602.7亿元</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1730亿元</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lang w:eastAsia="zh-CN"/>
              </w:rPr>
            </w:pPr>
            <w:r>
              <w:rPr>
                <w:rFonts w:hint="eastAsia" w:ascii="宋体" w:hAnsi="宋体" w:eastAsia="方正仿宋_GBK" w:cs="方正仿宋_GBK"/>
                <w:color w:val="auto"/>
                <w:sz w:val="24"/>
                <w:szCs w:val="24"/>
                <w:lang w:eastAsia="zh-CN"/>
              </w:rPr>
              <w:t>相关部门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29</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年末人口数量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364.58</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365</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366</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kern w:val="0"/>
                <w:sz w:val="24"/>
                <w:szCs w:val="24"/>
                <w:lang w:bidi="ar"/>
              </w:rPr>
            </w:pPr>
            <w:r>
              <w:rPr>
                <w:rFonts w:hint="eastAsia" w:ascii="宋体" w:hAnsi="宋体" w:eastAsia="方正仿宋_GBK" w:cs="方正仿宋_GBK"/>
                <w:color w:val="auto"/>
                <w:kern w:val="0"/>
                <w:sz w:val="24"/>
                <w:szCs w:val="24"/>
                <w:lang w:bidi="ar"/>
              </w:rPr>
              <w:t>30</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kern w:val="0"/>
                <w:sz w:val="24"/>
                <w:szCs w:val="24"/>
                <w:lang w:bidi="ar"/>
              </w:rPr>
            </w:pPr>
            <w:r>
              <w:rPr>
                <w:rFonts w:hint="eastAsia" w:ascii="宋体" w:hAnsi="宋体" w:eastAsia="方正仿宋_GBK" w:cs="方正仿宋_GBK"/>
                <w:color w:val="auto"/>
                <w:kern w:val="0"/>
                <w:sz w:val="24"/>
                <w:szCs w:val="24"/>
                <w:lang w:bidi="ar"/>
              </w:rPr>
              <w:t>城镇居民人均可支配收入</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36982元</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增长5%</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增长5%</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kern w:val="0"/>
                <w:sz w:val="24"/>
                <w:szCs w:val="24"/>
                <w:lang w:bidi="ar"/>
              </w:rPr>
            </w:pPr>
            <w:r>
              <w:rPr>
                <w:rFonts w:hint="eastAsia" w:ascii="宋体" w:hAnsi="宋体" w:eastAsia="方正仿宋_GBK" w:cs="方正仿宋_GBK"/>
                <w:color w:val="auto"/>
                <w:kern w:val="0"/>
                <w:sz w:val="24"/>
                <w:szCs w:val="24"/>
                <w:lang w:bidi="ar"/>
              </w:rPr>
              <w:t>31</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kern w:val="0"/>
                <w:sz w:val="24"/>
                <w:szCs w:val="24"/>
                <w:lang w:bidi="ar"/>
              </w:rPr>
            </w:pPr>
            <w:r>
              <w:rPr>
                <w:rFonts w:hint="eastAsia" w:ascii="宋体" w:hAnsi="宋体" w:eastAsia="方正仿宋_GBK" w:cs="方正仿宋_GBK"/>
                <w:color w:val="auto"/>
                <w:kern w:val="0"/>
                <w:sz w:val="24"/>
                <w:szCs w:val="24"/>
                <w:lang w:bidi="ar"/>
              </w:rPr>
              <w:t>农村居民人均可支配收入</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12665元</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增长7%</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增长7%</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32</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入境游客接待量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93.52万人次</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4.7万人次</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4.9万人次</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州文化和旅游局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33</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入境游客人次增长率</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-11%</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6.48%（同比2020年）</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6%</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34</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入境旅游产品数量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140</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160</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180</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35</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过夜游客占比</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37.21%</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38.5%</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40%</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84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36</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旅游人均消费</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过夜旅客：1183.04</w:t>
            </w:r>
          </w:p>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一日游游客：957.86（元/天）</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1150元/天</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均超过1200元/天</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37</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旅游业总收入</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941.9亿元</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695亿元</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900亿元</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38</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旅游业收入增速</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18.4%</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b w:val="0"/>
                <w:bCs w:val="0"/>
                <w:color w:val="auto"/>
                <w:sz w:val="24"/>
                <w:szCs w:val="24"/>
              </w:rPr>
            </w:pPr>
            <w:r>
              <w:rPr>
                <w:rFonts w:hint="eastAsia" w:ascii="宋体" w:hAnsi="宋体" w:eastAsia="方正仿宋_GBK" w:cs="方正仿宋_GBK"/>
                <w:b w:val="0"/>
                <w:bCs w:val="0"/>
                <w:color w:val="auto"/>
                <w:sz w:val="24"/>
                <w:szCs w:val="24"/>
              </w:rPr>
              <w:t>保持两位数增长</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b w:val="0"/>
                <w:bCs w:val="0"/>
                <w:color w:val="auto"/>
                <w:sz w:val="24"/>
                <w:szCs w:val="24"/>
              </w:rPr>
            </w:pPr>
            <w:r>
              <w:rPr>
                <w:rFonts w:hint="eastAsia" w:ascii="宋体" w:hAnsi="宋体" w:eastAsia="方正仿宋_GBK" w:cs="方正仿宋_GBK"/>
                <w:b w:val="0"/>
                <w:bCs w:val="0"/>
                <w:color w:val="auto"/>
                <w:sz w:val="24"/>
                <w:szCs w:val="24"/>
              </w:rPr>
              <w:t>保持两位数增长</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b/>
                <w:bCs/>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b/>
                <w:bCs/>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restart"/>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商业活跃度</w:t>
            </w: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39</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高品质步行街数量</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16条</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18条</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20条</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州商务局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6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40</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利用老旧厂房开设文化和旅游消费场所数量</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2宗，面积11.08亩</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4宗</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6宗，面积110亩</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lang w:eastAsia="zh-CN"/>
              </w:rPr>
            </w:pPr>
            <w:r>
              <w:rPr>
                <w:rFonts w:hint="eastAsia" w:ascii="宋体" w:hAnsi="宋体" w:eastAsia="方正仿宋_GBK" w:cs="方正仿宋_GBK"/>
                <w:color w:val="auto"/>
                <w:sz w:val="24"/>
                <w:szCs w:val="24"/>
              </w:rPr>
              <w:t>州自然资源局、</w:t>
            </w:r>
            <w:r>
              <w:rPr>
                <w:rFonts w:hint="eastAsia" w:ascii="宋体" w:hAnsi="宋体" w:eastAsia="方正仿宋_GBK" w:cs="方正仿宋_GBK"/>
                <w:color w:val="auto"/>
                <w:sz w:val="24"/>
                <w:szCs w:val="24"/>
                <w:lang w:eastAsia="zh-CN"/>
              </w:rPr>
              <w:t>州住房和城乡建设局、州商务局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41</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社会消费品零售总额</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426亿元</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445亿元</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465亿元</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lang w:eastAsia="zh-CN"/>
              </w:rPr>
            </w:pPr>
            <w:r>
              <w:rPr>
                <w:rFonts w:hint="eastAsia" w:ascii="宋体" w:hAnsi="宋体" w:eastAsia="方正仿宋_GBK" w:cs="方正仿宋_GBK"/>
                <w:color w:val="auto"/>
                <w:sz w:val="24"/>
                <w:szCs w:val="24"/>
                <w:lang w:eastAsia="zh-CN"/>
              </w:rPr>
              <w:t>相关部门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42</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社消增速</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9%</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8%</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8%</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43</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服务业增加值</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690.6亿元</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745亿元</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800亿元</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44</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服务业增速</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8.6%</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8%</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8%</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706" w:hRule="atLeast"/>
          <w:jc w:val="center"/>
        </w:trPr>
        <w:tc>
          <w:tcPr>
            <w:tcW w:w="409" w:type="dxa"/>
            <w:vMerge w:val="restart"/>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消费便捷度</w:t>
            </w: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45</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24小时便利店数量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270个</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280个</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290个</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州商务局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646"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46</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24小时书店数量</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0</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州文化和旅游局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140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47</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银行营业网点数量</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395个</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408个</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420个</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中国人民银行大理州中心支行</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48</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智慧景区建设覆盖率</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87.5%</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95%</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100%</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州文化和旅游局、州工业和信息化局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105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49</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文娱消费网络售票、验票覆盖率</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92%</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95%</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98%</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州文化和旅游局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8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50</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文化消费网点数量</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5790个</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6080个</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6369个</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6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51</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文旅消费场所4G/5G覆盖率</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全州所有行政村、学校、村卫生室、村文化室及4A级以上景点景区4G网络和宽带覆盖率达100%；5G基站信号覆盖204个行政村（社区）</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5G基站信号基本全覆盖</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5G基站信号基本全覆盖</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州工业和信息化局、州通管办</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531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52</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文旅消费优惠政策</w:t>
            </w:r>
            <w:r>
              <w:rPr>
                <w:rFonts w:hint="eastAsia" w:ascii="宋体" w:hAnsi="宋体" w:eastAsia="方正仿宋_GBK" w:cs="方正仿宋_GBK"/>
                <w:color w:val="auto"/>
                <w:sz w:val="24"/>
                <w:szCs w:val="24"/>
                <w:vertAlign w:val="superscript"/>
              </w:rPr>
              <w:t>▲</w:t>
            </w:r>
            <w:r>
              <w:rPr>
                <w:rFonts w:hint="eastAsia" w:ascii="宋体" w:hAnsi="宋体" w:eastAsia="方正仿宋_GBK" w:cs="方正仿宋_GBK"/>
                <w:color w:val="auto"/>
                <w:kern w:val="0"/>
                <w:sz w:val="24"/>
                <w:szCs w:val="24"/>
                <w:lang w:bidi="ar"/>
              </w:rPr>
              <w:t>（如景区门票减免力度、景区淡季免费、演出门票打折力度、消费补贴金额、积分奖励、高速通行费减免力度等）</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实行政府指导价的A级以上旅游景区，年内门票价格一律优惠50%；对旅行社组织的旅游团队并通过“一部手机游云南”平台购票的，景区门票全免，免除部分由省级予以补助。出台《大理白族自治州发展和改革委员会关于大理州国有景区门票降价的通知》，降低国有景区门票，执行相关减免优惠政策。</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加大文旅消费优惠力度，鼓励国有景区逐步向公众免费开放，引导民营景区、演艺项目门票等加大打折力度，推出文旅消费补贴活动，严格执行高速公路节假日免费通行等政策。</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加大文旅消费优惠力度，鼓励国有景区逐步向公众免费开放，引导民营景区、演艺项目门票等加大打折力度，推出文旅消费补贴活动，严格执行高速公路节假日免费通行等政策。</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州文化和旅游局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1777"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53</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文体商旅综合体数量</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10</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11</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12</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州商务局、州交通运输局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4179"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54</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夜间餐饮、购物场所等数量</w:t>
            </w:r>
            <w:r>
              <w:rPr>
                <w:rFonts w:hint="eastAsia" w:ascii="宋体" w:hAnsi="宋体" w:eastAsia="方正仿宋_GBK" w:cs="方正仿宋_GBK"/>
                <w:color w:val="auto"/>
                <w:sz w:val="24"/>
                <w:szCs w:val="24"/>
                <w:vertAlign w:val="superscript"/>
              </w:rPr>
              <w:t>▲</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大理州夜间餐饮场所数量：1136家（户）；大理州夜间购物场所数量：500家（户）；公交现有线路34条，市区线路末班发车时间为21:30，郊区及景点末班发车时间为20:00，未开通夜间公交线路。</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大理州夜间餐饮场所数量：1250家（户）；大理州夜间购物场所数量：550家（户），公交线路36条</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大理州夜间餐饮场所数量：1350家（户）；大理州夜间购物场所数量：600家（户），公交线路37条</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898" w:hRule="atLeast"/>
          <w:jc w:val="center"/>
        </w:trPr>
        <w:tc>
          <w:tcPr>
            <w:tcW w:w="409" w:type="dxa"/>
            <w:vMerge w:val="restart"/>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到达便利度</w:t>
            </w: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55</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kern w:val="0"/>
                <w:sz w:val="24"/>
                <w:szCs w:val="24"/>
                <w:lang w:bidi="ar"/>
              </w:rPr>
            </w:pPr>
            <w:r>
              <w:rPr>
                <w:rFonts w:hint="eastAsia" w:ascii="宋体" w:hAnsi="宋体" w:eastAsia="方正仿宋_GBK" w:cs="方正仿宋_GBK"/>
                <w:color w:val="auto"/>
                <w:kern w:val="0"/>
                <w:sz w:val="24"/>
                <w:szCs w:val="24"/>
                <w:lang w:bidi="ar"/>
              </w:rPr>
              <w:t>国际航班</w:t>
            </w:r>
          </w:p>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数量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0</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力争开通1-2条国际包机航线</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力争开通1-2条国际包机航线</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c>
          <w:tcPr>
            <w:tcW w:w="1192" w:type="dxa"/>
            <w:vMerge w:val="restart"/>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州交通运输局</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85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56</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kern w:val="0"/>
                <w:sz w:val="24"/>
                <w:szCs w:val="24"/>
                <w:lang w:bidi="ar"/>
              </w:rPr>
            </w:pPr>
            <w:r>
              <w:rPr>
                <w:rFonts w:hint="eastAsia" w:ascii="宋体" w:hAnsi="宋体" w:eastAsia="方正仿宋_GBK" w:cs="方正仿宋_GBK"/>
                <w:color w:val="auto"/>
                <w:kern w:val="0"/>
                <w:sz w:val="24"/>
                <w:szCs w:val="24"/>
                <w:lang w:bidi="ar"/>
              </w:rPr>
              <w:t>国内航班</w:t>
            </w:r>
          </w:p>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数量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17122架次</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18000架次</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19000架次</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874"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57</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kern w:val="0"/>
                <w:sz w:val="24"/>
                <w:szCs w:val="24"/>
                <w:lang w:bidi="ar"/>
              </w:rPr>
            </w:pPr>
            <w:r>
              <w:rPr>
                <w:rFonts w:hint="eastAsia" w:ascii="宋体" w:hAnsi="宋体" w:eastAsia="方正仿宋_GBK" w:cs="方正仿宋_GBK"/>
                <w:color w:val="auto"/>
                <w:kern w:val="0"/>
                <w:sz w:val="24"/>
                <w:szCs w:val="24"/>
                <w:lang w:bidi="ar"/>
              </w:rPr>
              <w:t>机场旅客</w:t>
            </w:r>
          </w:p>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吞吐量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173.25万人次</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200万人次</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230万人次</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934"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58</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kern w:val="0"/>
                <w:sz w:val="24"/>
                <w:szCs w:val="24"/>
                <w:lang w:bidi="ar"/>
              </w:rPr>
            </w:pPr>
            <w:r>
              <w:rPr>
                <w:rFonts w:hint="eastAsia" w:ascii="宋体" w:hAnsi="宋体" w:eastAsia="方正仿宋_GBK" w:cs="方正仿宋_GBK"/>
                <w:color w:val="auto"/>
                <w:kern w:val="0"/>
                <w:sz w:val="24"/>
                <w:szCs w:val="24"/>
                <w:lang w:bidi="ar"/>
              </w:rPr>
              <w:t>高速公路</w:t>
            </w:r>
          </w:p>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数量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4条</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9条</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14条</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934"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59</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高铁、动车到达次数</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38.5对</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58对</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78对</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每日</w:t>
            </w: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635"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60</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网约车数量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4.2万辆</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4.5万辆</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4.8万辆</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trHeight w:val="280" w:hRule="atLeast"/>
          <w:jc w:val="center"/>
        </w:trPr>
        <w:tc>
          <w:tcPr>
            <w:tcW w:w="409" w:type="dxa"/>
            <w:vMerge w:val="continue"/>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rPr>
                <w:rFonts w:hint="eastAsia" w:ascii="宋体" w:hAnsi="宋体" w:eastAsia="方正仿宋_GBK" w:cs="方正仿宋_GBK"/>
                <w:color w:val="auto"/>
                <w:sz w:val="24"/>
                <w:szCs w:val="24"/>
              </w:rPr>
            </w:pPr>
          </w:p>
        </w:tc>
        <w:tc>
          <w:tcPr>
            <w:tcW w:w="421"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61</w:t>
            </w:r>
          </w:p>
        </w:tc>
        <w:tc>
          <w:tcPr>
            <w:tcW w:w="1457"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kern w:val="0"/>
                <w:sz w:val="24"/>
                <w:szCs w:val="24"/>
                <w:lang w:bidi="ar"/>
              </w:rPr>
            </w:pPr>
            <w:r>
              <w:rPr>
                <w:rFonts w:hint="eastAsia" w:ascii="宋体" w:hAnsi="宋体" w:eastAsia="方正仿宋_GBK" w:cs="方正仿宋_GBK"/>
                <w:color w:val="auto"/>
                <w:kern w:val="0"/>
                <w:sz w:val="24"/>
                <w:szCs w:val="24"/>
                <w:lang w:bidi="ar"/>
              </w:rPr>
              <w:t>公交线路</w:t>
            </w:r>
          </w:p>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kern w:val="0"/>
                <w:sz w:val="24"/>
                <w:szCs w:val="24"/>
                <w:lang w:bidi="ar"/>
              </w:rPr>
              <w:t>数量</w:t>
            </w:r>
          </w:p>
        </w:tc>
        <w:tc>
          <w:tcPr>
            <w:tcW w:w="1860"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34条</w:t>
            </w:r>
          </w:p>
        </w:tc>
        <w:tc>
          <w:tcPr>
            <w:tcW w:w="2052" w:type="dxa"/>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36条</w:t>
            </w:r>
          </w:p>
        </w:tc>
        <w:tc>
          <w:tcPr>
            <w:tcW w:w="183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37条</w:t>
            </w:r>
          </w:p>
        </w:tc>
        <w:tc>
          <w:tcPr>
            <w:tcW w:w="876" w:type="dxa"/>
            <w:tcBorders>
              <w:tl2br w:val="nil"/>
              <w:tr2bl w:val="nil"/>
            </w:tcBorders>
            <w:noWrap w:val="0"/>
            <w:tcMar>
              <w:top w:w="10" w:type="dxa"/>
              <w:left w:w="10" w:type="dxa"/>
              <w:right w:w="10" w:type="dxa"/>
            </w:tcMar>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center"/>
              <w:textAlignment w:val="center"/>
              <w:rPr>
                <w:rFonts w:hint="eastAsia" w:ascii="宋体" w:hAnsi="宋体" w:eastAsia="方正仿宋_GBK" w:cs="方正仿宋_GBK"/>
                <w:color w:val="auto"/>
                <w:sz w:val="24"/>
                <w:szCs w:val="24"/>
              </w:rPr>
            </w:pPr>
          </w:p>
        </w:tc>
        <w:tc>
          <w:tcPr>
            <w:tcW w:w="1192" w:type="dxa"/>
            <w:vMerge w:val="continue"/>
            <w:tcBorders>
              <w:tl2br w:val="nil"/>
              <w:tr2bl w:val="nil"/>
            </w:tcBorders>
            <w:noWrap w:val="0"/>
            <w:vAlign w:val="center"/>
          </w:tcPr>
          <w:p>
            <w:pPr>
              <w:keepNext w:val="0"/>
              <w:keepLines w:val="0"/>
              <w:pageBreakBefore w:val="0"/>
              <w:widowControl w:val="0"/>
              <w:kinsoku/>
              <w:wordWrap/>
              <w:overflowPunct w:val="0"/>
              <w:topLinePunct w:val="0"/>
              <w:autoSpaceDE/>
              <w:autoSpaceDN/>
              <w:bidi w:val="0"/>
              <w:adjustRightInd w:val="0"/>
              <w:snapToGrid w:val="0"/>
              <w:spacing w:line="260" w:lineRule="exact"/>
              <w:jc w:val="both"/>
              <w:textAlignment w:val="center"/>
              <w:rPr>
                <w:rFonts w:hint="eastAsia" w:ascii="宋体" w:hAnsi="宋体" w:eastAsia="方正仿宋_GBK" w:cs="方正仿宋_GBK"/>
                <w:color w:val="auto"/>
                <w:sz w:val="24"/>
                <w:szCs w:val="24"/>
              </w:rPr>
            </w:pPr>
          </w:p>
        </w:tc>
      </w:tr>
    </w:tbl>
    <w:p>
      <w:pPr>
        <w:overflowPunct w:val="0"/>
        <w:adjustRightInd w:val="0"/>
        <w:snapToGrid w:val="0"/>
        <w:spacing w:line="597" w:lineRule="exact"/>
        <w:rPr>
          <w:rFonts w:hint="eastAsia" w:ascii="宋体" w:hAnsi="宋体" w:eastAsia="方正仿宋_GBK" w:cs="方正仿宋_GBK"/>
          <w:color w:val="auto"/>
        </w:rPr>
      </w:pPr>
      <w:r>
        <w:rPr>
          <w:rFonts w:hint="eastAsia" w:ascii="宋体" w:hAnsi="宋体" w:eastAsia="方正仿宋_GBK" w:cs="方正仿宋_GBK"/>
          <w:color w:val="auto"/>
          <w:kern w:val="0"/>
          <w:sz w:val="28"/>
          <w:szCs w:val="28"/>
          <w:lang w:bidi="ar"/>
        </w:rPr>
        <w:t>注：</w:t>
      </w:r>
      <w:r>
        <w:rPr>
          <w:rFonts w:hint="eastAsia" w:ascii="宋体" w:hAnsi="宋体" w:eastAsia="方正仿宋_GBK" w:cs="方正仿宋_GBK"/>
          <w:color w:val="auto"/>
          <w:sz w:val="28"/>
          <w:szCs w:val="28"/>
          <w:vertAlign w:val="superscript"/>
        </w:rPr>
        <w:t>★</w:t>
      </w:r>
      <w:r>
        <w:rPr>
          <w:rFonts w:hint="eastAsia" w:ascii="宋体" w:hAnsi="宋体" w:eastAsia="方正仿宋_GBK" w:cs="方正仿宋_GBK"/>
          <w:color w:val="auto"/>
          <w:kern w:val="0"/>
          <w:sz w:val="28"/>
          <w:szCs w:val="28"/>
          <w:lang w:bidi="ar"/>
        </w:rPr>
        <w:t>标注为“试点城市”评价要求定量指标；</w:t>
      </w:r>
      <w:r>
        <w:rPr>
          <w:rFonts w:hint="eastAsia" w:ascii="宋体" w:hAnsi="宋体" w:eastAsia="方正仿宋_GBK" w:cs="方正仿宋_GBK"/>
          <w:color w:val="auto"/>
          <w:sz w:val="28"/>
          <w:szCs w:val="28"/>
          <w:vertAlign w:val="superscript"/>
        </w:rPr>
        <w:t>▲</w:t>
      </w:r>
      <w:r>
        <w:rPr>
          <w:rFonts w:hint="eastAsia" w:ascii="宋体" w:hAnsi="宋体" w:eastAsia="方正仿宋_GBK" w:cs="方正仿宋_GBK"/>
          <w:color w:val="auto"/>
          <w:kern w:val="0"/>
          <w:sz w:val="28"/>
          <w:szCs w:val="28"/>
          <w:lang w:bidi="ar"/>
        </w:rPr>
        <w:t>标注为“试点城市”评价要求定性+定量指标；未特殊标注为创建“试点城市”而设置提升指标。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25F3D"/>
    <w:rsid w:val="64C25F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宋体"/>
      <w:kern w:val="2"/>
      <w:sz w:val="32"/>
      <w:szCs w:val="32"/>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rPr>
      <w:rFonts w:ascii="Times New Roman" w:hAnsi="Times New Roman" w:eastAsia="仿宋_GB2312" w:cs="Times New Roman"/>
      <w:sz w:val="32"/>
      <w:szCs w:val="32"/>
    </w:rPr>
  </w:style>
  <w:style w:type="paragraph" w:styleId="3">
    <w:name w:val="Body Text Indent"/>
    <w:basedOn w:val="1"/>
    <w:unhideWhenUsed/>
    <w:qFormat/>
    <w:uiPriority w:val="99"/>
    <w:pPr>
      <w:spacing w:after="120"/>
      <w:ind w:left="420" w:leftChars="200"/>
    </w:p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2021-09-15T08:04:00Z</dcterms:created>
  <dc:creator>bigyanghj1980</dc:creator>
  <cp:lastModifiedBy>bigyanghj1980</cp:lastModifiedBy>
  <dcterms:modified xsi:type="dcterms:W3CDTF">2021-09-15T08:05:40Z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