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_GBK" w:cs="方正黑体_GBK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jc w:val="both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方正小标宋_GBK" w:cs="方正小标宋_GBK"/>
          <w:kern w:val="2"/>
          <w:sz w:val="44"/>
          <w:szCs w:val="44"/>
          <w:lang w:val="en-US" w:eastAsia="zh-CN" w:bidi="ar-SA"/>
        </w:rPr>
        <w:t>2021年三季度抽查不合格政府系统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方正小标宋_GBK" w:cs="方正小标宋_GBK"/>
          <w:kern w:val="2"/>
          <w:sz w:val="44"/>
          <w:szCs w:val="44"/>
          <w:lang w:val="en-US" w:eastAsia="zh-CN" w:bidi="ar-SA"/>
        </w:rPr>
        <w:t>政务新媒体名单</w:t>
      </w:r>
    </w:p>
    <w:bookmarkEnd w:id="0"/>
    <w:p>
      <w:pPr>
        <w:pStyle w:val="2"/>
        <w:ind w:left="0" w:leftChars="0" w:firstLine="0" w:firstLineChars="0"/>
        <w:jc w:val="both"/>
        <w:rPr>
          <w:rFonts w:hint="eastAsia" w:ascii="宋体" w:hAnsi="宋体"/>
          <w:lang w:val="en-US" w:eastAsia="zh-CN"/>
        </w:rPr>
      </w:pPr>
    </w:p>
    <w:tbl>
      <w:tblPr>
        <w:tblStyle w:val="5"/>
        <w:tblpPr w:leftFromText="180" w:rightFromText="180" w:vertAnchor="text" w:horzAnchor="page" w:tblpX="1816" w:tblpY="90"/>
        <w:tblOverlap w:val="never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63"/>
        <w:gridCol w:w="1502"/>
        <w:gridCol w:w="215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  <w:t>县、市/州直部门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  <w:t>政务新媒体类型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  <w:t>政务新媒体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  <w:t>名     称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州水务局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微信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大理州河长制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内容不更新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宾川县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微信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宾川国土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内容不更新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云龙县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微信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云龙就业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内容不更新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黑体" w:cs="黑体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701" w:right="1474" w:bottom="1134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338D6"/>
    <w:rsid w:val="42033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2021-10-29T00:38:00Z</dcterms:created>
  <dc:creator>bigyanghj1980</dc:creator>
  <cp:lastModifiedBy>bigyanghj1980</cp:lastModifiedBy>
  <dcterms:modified xsi:type="dcterms:W3CDTF">2021-10-29T00:41:18Z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