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</w:rPr>
      </w:pPr>
      <w:bookmarkStart w:id="2" w:name="_GoBack"/>
      <w:bookmarkEnd w:id="2"/>
      <w:r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</w:rPr>
        <w:t>大理州第二人民医院</w:t>
      </w:r>
      <w:bookmarkStart w:id="0" w:name="_Toc36372056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  <w:lang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</w:rPr>
        <w:t>医疗技术临床应用目录</w:t>
      </w:r>
      <w:bookmarkEnd w:id="0"/>
      <w:r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  <w:lang w:eastAsia="zh-CN"/>
        </w:rPr>
        <w:t>(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  <w:lang w:val="en-US" w:eastAsia="zh-CN"/>
        </w:rPr>
        <w:t>2021年更新</w:t>
      </w:r>
      <w:r>
        <w:rPr>
          <w:rFonts w:hint="default" w:ascii="Times New Roman" w:hAnsi="Times New Roman" w:eastAsia="方正小标宋_GBK" w:cs="Times New Roman"/>
          <w:b w:val="0"/>
          <w:bCs/>
          <w:color w:val="000000"/>
          <w:w w:val="100"/>
          <w:sz w:val="36"/>
          <w:szCs w:val="36"/>
          <w:lang w:eastAsia="zh-CN"/>
        </w:rPr>
        <w:t>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第一部分：非限制类医疗技术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一、医学检验科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血液一般检查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血红蛋白测定(Hb)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红细胞计数(RBC)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红细胞比积测定(HCT)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白细胞计数(WBC)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白细胞分类计数(DC)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嗜酸性粒细胞直接计数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网织红细胞计数(Ret)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8.淋巴细胞直接计数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9.单核细胞直接计数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10.血小板计数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ABO血型鉴定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正定与反定联合法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尿液一般检查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尿常规检查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尿酸碱度测定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尿糖定性试验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尿酮体定性试验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尿妊娠试验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尿沉渣镜检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 xml:space="preserve">7.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尿液分析+镜检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8. 各类滥用药物筛查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免疫学法等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粪便检查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粪便常规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隐血试验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单克隆法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四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体液与分泌物检查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胸、腹水常规检查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五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临床化学检查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蛋白质测定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血清总蛋白测定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血清白蛋白测定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糖及其代谢物测定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葡萄糖测定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血清总胆固醇测定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血清甘油三酯测定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血清高密度脂蛋白胆固醇测定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9.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血清低密度脂蛋白胆固醇测定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10.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无机元素测定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钾测定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 氯测定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钙测定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六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肝病的实验诊断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血清总胆红素测定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血清直接胆红素测定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血清间接胆红素测定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血清总胆汁酸测定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血浆氨测定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6.血清丙氨酸氨基转移酶测定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血清天门冬氨酸氨基转移酶测定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血清碱性磷酸酶测定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9.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血清胆碱脂酶测定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10.血清γ-谷氨酰基转移酶测定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七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心肌疾病的实验诊断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血清肌酸激酶测定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血清肌酸激酶－MB同工酶活性测定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乳酸脱氢酶测定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血清肌钙蛋白Ⅰ测定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血清肌红蛋白测定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八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肾脏疾病的实验诊断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尿素测定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肌酐测定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血清尿酸测定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九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其它血清酶类测定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淀粉酶测定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(十)激素测定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血清促甲状腺激素测定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血清游离甲状腺素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FT4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血清游离甲状腺素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FT4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血清游离三碘甲状原氨酸(FT3)测定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 血清游离三碘甲状原氨酸(FT3)测定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十一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性激素测定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化学发光法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1.雌二醇测定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2.血清促卵泡雌激素测定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血清促黄体生成素测定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血清垂体泌乳素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5.睾酮测定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6.孕酮测定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十二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自身免疫病的实验诊断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类风湿因子(RF)测定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定量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十三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感染免疫学检测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甲型肝炎抗体测定(HAV)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乙型肝炎五项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乙型肝炎表面抗体测定(Anti-HBs)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乙型肝炎e抗原测定(HBeAg)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 乙型肝炎e抗体测定(Anti-HBe)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 乙型肝炎核心抗原测定(HBcAg)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7. 乙型肝炎核心抗体测定(Anti-HBc)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 乙型肝炎核心IgM抗体测定(Anti-HBcIgM)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 丙型肝炎抗体测定(Anti-HCV)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 人免疫缺陷病毒抗体测定(Anti-HIV)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11. 抗链球菌溶血素O测定(ASO)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定量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12. 肺炎支原体血清学试验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13.梅毒螺旋体特异抗体测定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14.不加热血清反应素试验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十四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临床微生物学检查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委托实验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病原微生物镜检、培养与鉴定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一般细菌涂片检查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结核菌涂片检查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特殊细菌涂片检查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 耐甲氧西林葡萄球菌检测 (MRSA、MRS)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 一般细菌培养及鉴定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7. 血培养及鉴定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 沙门菌、志贺菌培养及鉴定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 真菌涂片检查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 真菌培养及鉴定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11. 念珠菌镜检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12. 念珠菌培养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13. 念珠菌系统鉴定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 衣原体检查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15. 衣原体培养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16. 支原体检查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17. 支原体培养及药敏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18. 药物敏感试验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19. 常规药敏定性试验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20. 常规药敏定量试验(MIC)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21. 真菌药敏试验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十五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其它检验试验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1.超广谱β－内酰胺酶试验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2.全血D-二聚体定量测定 (D-Dimer)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3.人类白细胞抗原B27测定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HLA-B27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4.糖及其代谢物测定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5.糖化血红蛋白定量测定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6.无机元素测定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7.全血干式血气及离子分析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8.心肌疾病的实验诊断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9.心力衰竭全定量测定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10.全血肌钙蛋白I快速定量测定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11.血气分析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12.血清特殊血药浓度测定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13血清一般血药浓度测定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色谱法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14.血清一般血药浓度测定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免疫学法等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15.呼吸道合胞病毒抗体测定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16.腺病毒抗体测定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免疫学法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17.病毒血清学试验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18.降钙素原检测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二、超声诊断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彩色多普勒甲状腺及颈部淋巴结超声检查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彩色多普勒腹部超声检查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彩色多普勒泌尿系超声检查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彩色多普勒妇科超声检查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 彩色多普勒产科超声检查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 彩色多普勒胸腹水超声检查及穿刺定位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7. 双肾及肾血管彩色多普勒超声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 彩色多普勒颅腔超声检查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 彩色多普勒体表肿物超声检查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 彩色多普勒膀胱残余尿量超声测定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11. 颅内多普勒血流图(TCD)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12. 四肢多普勒血流图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13. 颈部血管彩色多普勒超声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 四肢血管彩色多普勒超声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15. 颅内段血管彩色多普勒超声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16. 心脏常规彩色多普勒超声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17. 左心功能测定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18. 室壁运动分析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19. 组织多普勒显象(TDI)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三、医学影像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X线透视检查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普通透视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X线摄影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1. 数字化造影摄影(DR)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平板探测器X线数字成像(DDR)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X线造影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上消化道造影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静脉泌尿系造影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膀胱造影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X线计算机体层(CT)扫描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X线计算机体层(CT)成像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CT扫描三维重建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螺旋CT扫描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64排以下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六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四、康复科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康复评定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文体训练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引导式教育训练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作业疗法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职业功能训练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五、心电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常规心电图检查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动态心电图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心电事件记录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动态血压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中频脉冲电治疗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六、医学心理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1、暴露疗法和半暴露疗法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2、行为观察和治疗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3、冲动行为干预治疗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4、暗示治疗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5、松驰治疗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6、心理咨询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7、个体、群体心理治疗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8、催眠治疗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9、森田疗法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10、厌恶治疗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11、宗氏焦虑自评量表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12、宗氏抑郁自评量表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13、简明精神病评定量表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14、简明心理状态测验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15、长谷川痴呆测验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16、康奈氏儿童行为量表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17、阿成贝切儿童行为量表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18、阳性和阴性症状量表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19、痴呆评定量表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20、艾森克人格测定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21、瑞文智力测定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22、阴性症状评定量表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23、阳性症状评定量表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24、成人孤独症诊断量表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25、韦多氏记忆测验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26、韦氏智力测验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27、明尼苏达多项个性测验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28、卡特尔16项人格测验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七、口腔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1. 口腔综合检查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2. 全口牙病系统检查与治疗设计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3. 咬合检查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4. 咀嚼功能检查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5. 下颌运动检查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6. 口腔模型制备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7. 记存模型制备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8. X线检查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牙片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9. 牙体牙髓检查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10.. 牙髓活力检查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11. 根管长度测量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12. 牙周检查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13. 咬合动度测定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14. 口腔关节病检查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15. 颞颌关节系统检查设计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16. 口腔修复检查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17. 窝沟封闭术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18. 牙脱敏治疗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19. 口腔局部冲洗上药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20. 不良修复体拆除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21. 口腔局部止血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22. 口内脓肿切开引流术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23. 牙外伤结扎固定术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24. 拆除固定装置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25. 简单充填术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26. 复杂充填术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27. 牙体桩钉固位修复术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28. 牙体缺损粘接修复术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29. 充填体抛光术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30. 调牙合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31. 前牙美容修复术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32. 树脂嵌体修复术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33. 盖髓术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34. 牙髓失活术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35. 开髓引流术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36. 干髓术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37. 牙髓摘除术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38. 根管预备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39. 根管充填术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40. 髓腔消毒术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41. 根管消毒术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42. 牙髓塑化治疗术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43. 根管再治疗术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44. 钙化根管打通术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45. 劈裂牙治疗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46. 后牙纵折固定术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47. 儿童牙科治疗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48. 根尖诱导成形术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49. 窝沟封闭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50. 儿童前牙树脂冠修复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51. 制戴固定式缺隙保持器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52. 制戴活动式缺隙保持器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53. 制戴活动矫正器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54. 全牙列牙合垫固定术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55. 活髓切断术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56. 牙周治疗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57. 洁治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58. 牙周固定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59. 去除牙周固定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60. 牙面光洁术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61. 颞下颌关节复位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62. 冠周炎局部治疗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63. 干槽症换药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64. 调磨牙合垫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65. 冠修复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66. 嵌体修复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67. 桩核修复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68. 根帽修复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69. 贴面修复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70. 桩冠修复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71. 固定桥修复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72. 咬牙合重建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73. 粘结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74. 活动桥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75. 塑料可摘局部义齿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76. 铸造可摘局部义齿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77. 美容义齿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78. 即刻义齿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79. 附着体义齿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80. 总义齿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81. 修复体整理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82. 拆冠、桥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83. 拆桩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84. 调改义齿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85. 加人工牙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86. 义齿接长基托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87. 义齿裂纹及折裂修理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88. 义齿组织面重衬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89. 加卡环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90. 增加铸造基托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91. 加支托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92. 增加加固装置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93. 塑料牙加高咬合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94. 弹性假牙龈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95. 多生牙拔除术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96. 颞颌关节手法复位术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97. 残留牙根拔除术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98. 恒牙拔除术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99. 乳牙拔除术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100. 牙龈缝合术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101. 外周神经阻滞麻醉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102. 局部浸润麻醉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八、MECT室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局部浸润麻醉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基础麻醉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无菌技术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气管插管术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控制性降压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心电监护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指脉氧监测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心脏电除颤术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9.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呼吸机辅助呼吸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10.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11.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呼吸机应用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12.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胃插管术及胃肠减压术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13. 导尿术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鼻塞、鼻导管吸氧法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动脉穿刺术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皮内注射法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皮下注射法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肌内注射法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静脉注射法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九、住院部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指脉氧监测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心电监护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无创辅助通气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胸腔穿刺术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腹腔穿刺术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腰椎穿刺术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无菌技术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清创、换药术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10.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呼吸机应用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呼吸机辅助呼吸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局部浸润麻醉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中频脉冲电治疗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指尖微量血糖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皮内注射法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皮下注射法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肌内注射法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19.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静脉注射法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20.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导尿术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鼻塞、鼻导管吸氧法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鼻导管吸痰法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心脏电除颤术；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24、脑电治疗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25、脑电生物反馈治疗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26、磁疗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kern w:val="0"/>
          <w:sz w:val="32"/>
          <w:szCs w:val="32"/>
        </w:rPr>
        <w:t>十、门急诊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皮内注射法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皮下注射法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肌内注射法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静脉注射法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呼吸机应用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洗胃术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7.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胃插管术及胃肠减压术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8.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导尿术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9.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鼻塞、鼻导管吸氧法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10.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无菌技术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心肺复苏术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kern w:val="0"/>
          <w:sz w:val="32"/>
          <w:szCs w:val="32"/>
        </w:rPr>
        <w:t>12.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除颤术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十一、非限制类医疗技术目录公共部分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凡属“三基三严”要求的各项诊疗操作均属非限制类类医疗技术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二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注射术：皮内注射法、皮下注射法、肌内注射法、静脉注射法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三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穿刺术：腹膜腔穿刺术、腰椎穿刺术、环甲膜穿刺术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插管技术：胃插管术、导尿术、鼻塞、鼻导管吸氧法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五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无菌技术；洗手法、戴无菌手套、穿脱隔离衣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六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清创、换药术；清创缝合术、换药术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七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急救技术：心肺复苏术、除颤术、呼吸机应用、洗胃术等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(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)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心理咨询、心理治疗、松驰治疗、暗示治疗、脑功能检查、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</w:rPr>
        <w:t>行为观察和治疗、冲动行为干预治疗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color w:val="000000"/>
          <w:kern w:val="0"/>
          <w:sz w:val="32"/>
          <w:szCs w:val="32"/>
        </w:rPr>
        <w:t>备注：各科目录中未列出公共部分目录的，根据科室专业性质、功能、技术能力，可以开展相应的公共部分非限制类医疗技术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bookmarkStart w:id="1" w:name="_Toc363720562"/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第二部分：限制类医疗技术目录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医用高压氧治疗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技术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(备注：根据《云南省卫生健康委办公室关于印发省级限制类技术目录（2022版）的通知》已将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医用高压氧治疗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技术从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限制类技术中删除)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3" w:firstLineChars="200"/>
        <w:jc w:val="center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color w:val="000000"/>
          <w:sz w:val="32"/>
          <w:szCs w:val="32"/>
        </w:rPr>
        <w:t>第三部分：高风险医疗技术目录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无抽搐电休克治疗术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(MECT)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全身麻醉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sectPr>
      <w:type w:val="continuous"/>
      <w:pgSz w:w="11906" w:h="16839"/>
      <w:pgMar w:top="1134" w:right="1474" w:bottom="1134" w:left="1474" w:header="0" w:footer="1003" w:gutter="0"/>
      <w:pgNumType w:fmt="numberInDash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10988D"/>
    <w:multiLevelType w:val="singleLevel"/>
    <w:tmpl w:val="9710988D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B5ACC53"/>
    <w:multiLevelType w:val="singleLevel"/>
    <w:tmpl w:val="AB5ACC53"/>
    <w:lvl w:ilvl="0" w:tentative="0">
      <w:start w:val="1"/>
      <w:numFmt w:val="decimal"/>
      <w:pStyle w:val="5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5D513CC"/>
    <w:multiLevelType w:val="singleLevel"/>
    <w:tmpl w:val="25D513CC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682DF56E"/>
    <w:multiLevelType w:val="singleLevel"/>
    <w:tmpl w:val="682DF56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056CF"/>
    <w:rsid w:val="10E226F7"/>
    <w:rsid w:val="29B71F30"/>
    <w:rsid w:val="2CAC495C"/>
    <w:rsid w:val="35B07D02"/>
    <w:rsid w:val="3DCA21BA"/>
    <w:rsid w:val="3E524602"/>
    <w:rsid w:val="3F5A7042"/>
    <w:rsid w:val="440B4B8E"/>
    <w:rsid w:val="49D57017"/>
    <w:rsid w:val="4FE0554A"/>
    <w:rsid w:val="60C64BB2"/>
    <w:rsid w:val="71471099"/>
    <w:rsid w:val="79A6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jc w:val="center"/>
      <w:outlineLvl w:val="0"/>
    </w:pPr>
    <w:rPr>
      <w:rFonts w:ascii="Times New Roman" w:hAnsi="Times New Roman" w:eastAsia="方正大标宋_GBK"/>
      <w:kern w:val="44"/>
      <w:sz w:val="44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line="560" w:lineRule="exact"/>
      <w:ind w:firstLine="880" w:firstLineChars="200"/>
      <w:outlineLvl w:val="1"/>
    </w:pPr>
    <w:rPr>
      <w:rFonts w:ascii="Arial" w:hAnsi="Arial" w:eastAsia="方正黑体_GBK"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0"/>
        <w:numId w:val="2"/>
      </w:numPr>
      <w:spacing w:beforeLines="0" w:beforeAutospacing="0" w:afterLines="0" w:afterAutospacing="0" w:line="560" w:lineRule="exact"/>
      <w:ind w:firstLine="880" w:firstLineChars="200"/>
      <w:outlineLvl w:val="2"/>
    </w:pPr>
    <w:rPr>
      <w:rFonts w:ascii="Times New Roman" w:hAnsi="Times New Roman" w:eastAsia="方正楷体_GBK"/>
      <w:b/>
      <w:sz w:val="32"/>
      <w:szCs w:val="2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3"/>
      </w:numPr>
      <w:snapToGrid w:val="0"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 w:eastAsia="方正仿宋_GBK"/>
      <w:sz w:val="32"/>
      <w:szCs w:val="22"/>
    </w:rPr>
  </w:style>
  <w:style w:type="character" w:default="1" w:styleId="8">
    <w:name w:val="Default Paragraph Font"/>
    <w:semiHidden/>
    <w:qFormat/>
    <w:uiPriority w:val="0"/>
    <w:rPr>
      <w:rFonts w:ascii="Times New Roman" w:hAnsi="Times New Roman" w:eastAsia="方正仿宋_GBK"/>
      <w:sz w:val="32"/>
      <w:szCs w:val="32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next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eastAsia="方正大标宋_GBK" w:cs="Times New Roman"/>
      <w:bCs/>
      <w:sz w:val="44"/>
      <w:szCs w:val="32"/>
    </w:rPr>
  </w:style>
  <w:style w:type="character" w:customStyle="1" w:styleId="9">
    <w:name w:val="标题 Char"/>
    <w:link w:val="6"/>
    <w:qFormat/>
    <w:uiPriority w:val="0"/>
    <w:rPr>
      <w:rFonts w:ascii="Cambria" w:hAnsi="Cambria" w:eastAsia="方正大标宋_GBK" w:cs="Times New Roman"/>
      <w:bCs/>
      <w:kern w:val="2"/>
      <w:sz w:val="44"/>
      <w:szCs w:val="32"/>
    </w:rPr>
  </w:style>
  <w:style w:type="paragraph" w:styleId="10">
    <w:name w:val="List Paragraph"/>
    <w:basedOn w:val="1"/>
    <w:qFormat/>
    <w:uiPriority w:val="34"/>
    <w:pPr>
      <w:spacing w:line="560" w:lineRule="exact"/>
      <w:ind w:firstLine="420" w:firstLineChars="200"/>
    </w:pPr>
    <w:rPr>
      <w:rFonts w:ascii="Times New Roman" w:hAnsi="Times New Roman" w:eastAsia="方正仿宋_GBK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2021-10-08T00:34:00Z</dcterms:created>
  <dc:creator>Administrator</dc:creator>
  <cp:lastModifiedBy>Administrator</cp:lastModifiedBy>
  <dcterms:modified xsi:type="dcterms:W3CDTF">2022-12-16T02:46:52Z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1A88753AF9AF4098A558BD5B6F769757</vt:lpwstr>
  </property>
</Properties>
</file>