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4" w:lineRule="auto"/>
        <w:rPr>
          <w:rFonts w:ascii="Arial"/>
          <w:sz w:val="21"/>
        </w:rPr>
      </w:pPr>
    </w:p>
    <w:p>
      <w:pPr>
        <w:spacing w:before="97" w:line="227" w:lineRule="auto"/>
        <w:ind w:left="2818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土地</w:t>
      </w:r>
      <w:r>
        <w:rPr>
          <w:rFonts w:ascii="黑体" w:hAnsi="黑体" w:eastAsia="黑体" w:cs="黑体"/>
          <w:sz w:val="30"/>
          <w:szCs w:val="30"/>
        </w:rPr>
        <w:t>复垦方案评审表</w:t>
      </w:r>
    </w:p>
    <w:p>
      <w:pPr>
        <w:spacing w:line="59" w:lineRule="exact"/>
      </w:pPr>
    </w:p>
    <w:tbl>
      <w:tblPr>
        <w:tblStyle w:val="4"/>
        <w:tblW w:w="9003" w:type="dxa"/>
        <w:tblInd w:w="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950"/>
        <w:gridCol w:w="2049"/>
        <w:gridCol w:w="4297"/>
        <w:gridCol w:w="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4" w:type="dxa"/>
            <w:gridSpan w:val="2"/>
            <w:noWrap w:val="0"/>
            <w:vAlign w:val="top"/>
          </w:tcPr>
          <w:p>
            <w:pPr>
              <w:spacing w:before="203" w:line="228" w:lineRule="auto"/>
              <w:ind w:left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产(建设)项目名称</w:t>
            </w:r>
          </w:p>
        </w:tc>
        <w:tc>
          <w:tcPr>
            <w:tcW w:w="6346" w:type="dxa"/>
            <w:gridSpan w:val="2"/>
            <w:noWrap w:val="0"/>
            <w:vAlign w:val="top"/>
          </w:tcPr>
          <w:p>
            <w:pPr>
              <w:spacing w:before="201" w:line="228" w:lineRule="auto"/>
              <w:ind w:left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云龙至永平高速公路建设项目(云龙段)第三批次临时用地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554" w:type="dxa"/>
            <w:gridSpan w:val="2"/>
            <w:noWrap w:val="0"/>
            <w:vAlign w:val="top"/>
          </w:tcPr>
          <w:p>
            <w:pPr>
              <w:spacing w:before="179" w:line="228" w:lineRule="auto"/>
              <w:ind w:left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产(建设)单应名你</w:t>
            </w:r>
          </w:p>
        </w:tc>
        <w:tc>
          <w:tcPr>
            <w:tcW w:w="6346" w:type="dxa"/>
            <w:gridSpan w:val="2"/>
            <w:noWrap w:val="0"/>
            <w:vAlign w:val="top"/>
          </w:tcPr>
          <w:p>
            <w:pPr>
              <w:spacing w:before="179" w:line="228" w:lineRule="auto"/>
              <w:ind w:left="14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云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南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省建设投资控股集团有限公司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554" w:type="dxa"/>
            <w:gridSpan w:val="2"/>
            <w:noWrap w:val="0"/>
            <w:vAlign w:val="top"/>
          </w:tcPr>
          <w:p>
            <w:pPr>
              <w:spacing w:before="177" w:line="228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方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案编制单位名称</w:t>
            </w:r>
          </w:p>
        </w:tc>
        <w:tc>
          <w:tcPr>
            <w:tcW w:w="6346" w:type="dxa"/>
            <w:gridSpan w:val="2"/>
            <w:noWrap w:val="0"/>
            <w:vAlign w:val="top"/>
          </w:tcPr>
          <w:p>
            <w:pPr>
              <w:spacing w:before="181" w:line="228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寰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球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孪生空间设计(云南)有限公司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54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5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目用地面积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spacing w:before="120" w:line="228" w:lineRule="auto"/>
              <w:ind w:left="4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目区面积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spacing w:before="120" w:line="295" w:lineRule="exact"/>
              <w:ind w:left="1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2"/>
                <w:szCs w:val="22"/>
              </w:rPr>
              <w:t>0.5488公</w:t>
            </w:r>
            <w:r>
              <w:rPr>
                <w:rFonts w:ascii="宋体" w:hAnsi="宋体" w:eastAsia="宋体" w:cs="宋体"/>
                <w:spacing w:val="6"/>
                <w:position w:val="1"/>
                <w:sz w:val="22"/>
                <w:szCs w:val="22"/>
              </w:rPr>
              <w:t>顷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554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spacing w:before="105" w:line="227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拟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损毁土地面积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spacing w:before="110" w:line="294" w:lineRule="exact"/>
              <w:ind w:left="1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2"/>
                <w:szCs w:val="22"/>
              </w:rPr>
              <w:t>0.5488公</w:t>
            </w:r>
            <w:r>
              <w:rPr>
                <w:rFonts w:ascii="宋体" w:hAnsi="宋体" w:eastAsia="宋体" w:cs="宋体"/>
                <w:spacing w:val="6"/>
                <w:position w:val="1"/>
                <w:sz w:val="22"/>
                <w:szCs w:val="22"/>
              </w:rPr>
              <w:t>顷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03" w:type="dxa"/>
            <w:gridSpan w:val="3"/>
            <w:noWrap w:val="0"/>
            <w:vAlign w:val="top"/>
          </w:tcPr>
          <w:p>
            <w:pPr>
              <w:spacing w:before="118" w:line="228" w:lineRule="auto"/>
              <w:ind w:left="1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产能力(或投资规模)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spacing w:before="121" w:line="295" w:lineRule="exact"/>
              <w:ind w:left="1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0"/>
                <w:position w:val="1"/>
                <w:sz w:val="22"/>
                <w:szCs w:val="22"/>
                <w:lang w:val="en-US" w:eastAsia="zh-CN"/>
              </w:rPr>
              <w:t>17.38</w:t>
            </w:r>
            <w:r>
              <w:rPr>
                <w:rFonts w:ascii="宋体" w:hAnsi="宋体" w:eastAsia="宋体" w:cs="宋体"/>
                <w:spacing w:val="5"/>
                <w:position w:val="1"/>
                <w:sz w:val="22"/>
                <w:szCs w:val="22"/>
              </w:rPr>
              <w:t>万元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603" w:type="dxa"/>
            <w:gridSpan w:val="3"/>
            <w:noWrap w:val="0"/>
            <w:vAlign w:val="top"/>
          </w:tcPr>
          <w:p>
            <w:pPr>
              <w:spacing w:before="128" w:line="228" w:lineRule="auto"/>
              <w:ind w:left="1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产年限(或建设期限)</w:t>
            </w:r>
          </w:p>
        </w:tc>
        <w:tc>
          <w:tcPr>
            <w:tcW w:w="4297" w:type="dxa"/>
            <w:noWrap w:val="0"/>
            <w:vAlign w:val="top"/>
          </w:tcPr>
          <w:p>
            <w:pPr>
              <w:spacing w:before="128" w:line="228" w:lineRule="auto"/>
              <w:ind w:left="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7个月(2023年3月至2030年5月)</w:t>
            </w:r>
          </w:p>
        </w:tc>
        <w:tc>
          <w:tcPr>
            <w:tcW w:w="103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7" w:hRule="atLeast"/>
        </w:trPr>
        <w:tc>
          <w:tcPr>
            <w:tcW w:w="604" w:type="dxa"/>
            <w:noWrap w:val="0"/>
            <w:textDirection w:val="tbRlV"/>
            <w:vAlign w:val="top"/>
          </w:tcPr>
          <w:p>
            <w:pPr>
              <w:spacing w:before="198" w:line="224" w:lineRule="auto"/>
              <w:ind w:left="37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专家评审意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见</w:t>
            </w:r>
          </w:p>
        </w:tc>
        <w:tc>
          <w:tcPr>
            <w:tcW w:w="8399" w:type="dxa"/>
            <w:gridSpan w:val="4"/>
            <w:noWrap w:val="0"/>
            <w:vAlign w:val="top"/>
          </w:tcPr>
          <w:p>
            <w:pPr>
              <w:spacing w:before="68" w:line="375" w:lineRule="auto"/>
              <w:ind w:left="21" w:right="39" w:firstLine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根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据国土资源部国土资发〔2007〕81号文“关于组织土地复垦方案编制和审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查有关问题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通知”、国务院592号令《土地复垦条例》、《土地复垦条例实施办法》、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《土地复垦质量控制标准》及土地开发整理工程建设标准和土地复垦相关规程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理白族自治州自然资源和规划局组织专家于2023年3月1 日对寰球孪生空间</w:t>
            </w:r>
          </w:p>
          <w:p>
            <w:pPr>
              <w:spacing w:line="373" w:lineRule="auto"/>
              <w:ind w:left="138" w:right="239" w:hanging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设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计 (云南)有限公司编制的《云龙至永平高速公路建设项 目 (云龙段)第三批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次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临时用地土地复垦方案》进行了评审，形成如下审查意见：</w:t>
            </w:r>
          </w:p>
          <w:p>
            <w:pPr>
              <w:spacing w:before="3" w:line="371" w:lineRule="auto"/>
              <w:ind w:left="113" w:right="206" w:firstLine="4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一、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本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土地复垦方案报告书编制格式符合要求，内容齐全；调查研究与数据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计算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方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法正确，基本可信；提出的各项土地复垦工程措施基本可行；复垦费用估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算基本合理，可作为指导复垦义务人开展土地复垦工作的依据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。</w:t>
            </w:r>
          </w:p>
          <w:p>
            <w:pPr>
              <w:spacing w:before="118" w:line="379" w:lineRule="auto"/>
              <w:ind w:left="134" w:right="172" w:firstLine="4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二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、该项目位于云南省大理州云龙县宝丰乡宝丰村民委员会，项目临时用地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面积0.5488公顷，复垦责任范围面积0.5488公顷，不占用基本农田，云龙至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平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高速公路建设项目(云龙段)第三批次临时用地涉及 1个地块(1个项目驻地)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。复垦责任范围内拟损毁土地面积为0.5488公顷，其中水田0.3923公顷， 内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滩涂0.0649公顷，其他草地0.0916公顷。土地复垦服务年限87个月，为2023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月至2030年5月。</w:t>
            </w:r>
          </w:p>
          <w:p>
            <w:pPr>
              <w:spacing w:before="102" w:line="404" w:lineRule="auto"/>
              <w:ind w:left="141" w:right="196" w:firstLine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三、原则同意报告书中关于云龙至永平高速公路建设项目(云龙段)第三批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次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临时用地项目损毁土地的预测和分析。本项目属建设类项目，损毁土地方式主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037" w:bottom="0" w:left="1785" w:header="0" w:footer="0" w:gutter="0"/>
          <w:cols w:space="720" w:num="1"/>
        </w:sectPr>
      </w:pPr>
    </w:p>
    <w:p/>
    <w:p>
      <w:pPr>
        <w:spacing w:line="41" w:lineRule="exact"/>
      </w:pPr>
    </w:p>
    <w:tbl>
      <w:tblPr>
        <w:tblStyle w:val="4"/>
        <w:tblW w:w="8893" w:type="dxa"/>
        <w:tblInd w:w="8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2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8" w:hRule="atLeast"/>
        </w:trPr>
        <w:tc>
          <w:tcPr>
            <w:tcW w:w="59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5" w:type="dxa"/>
            <w:noWrap w:val="0"/>
            <w:vAlign w:val="top"/>
          </w:tcPr>
          <w:p>
            <w:pPr>
              <w:spacing w:before="78" w:line="399" w:lineRule="auto"/>
              <w:ind w:left="129" w:right="2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要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有压占和挖损，复垦责任范围内损毁土地面积0.5488公顷，全部为拟损毁，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损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毁方式为压占或挖损。</w:t>
            </w:r>
          </w:p>
          <w:p>
            <w:pPr>
              <w:spacing w:before="1" w:line="380" w:lineRule="auto"/>
              <w:ind w:left="132" w:right="59" w:firstLine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四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、基本同意本项目制定的复垦目标和任务，土地复垦适宜性评价过程和结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果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本可信。本项目复垦土地0.5488公顷，拟复垦为水田0.3923公顷， 内陆滩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涂0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.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0649公顷，其他草地0.0916公顷。计算复垦率为100%。</w:t>
            </w:r>
          </w:p>
          <w:p>
            <w:pPr>
              <w:spacing w:before="139" w:line="238" w:lineRule="auto"/>
              <w:ind w:left="5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五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基本同意本报告书提出的预防控制措施和复垦措施。</w:t>
            </w:r>
          </w:p>
          <w:p>
            <w:pPr>
              <w:spacing w:before="225" w:line="369" w:lineRule="auto"/>
              <w:ind w:left="109" w:right="73" w:firstLine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一)预防控制措施：  (1)各种生产建设活动应严格控制在复垦区内，做好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土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壤和植被的保护措施，施工过程中的固体废弃物要及时处理； (2)合理地布置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作面及开挖顺序，规范化施工，减少不必要的人为损毁，在满足工程施工的基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础上，尽量采取对土地损毁程度小的施工方法；  (3)工程建设过程可能诱发地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灾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害，引起滑坡、崩塌、泥石流水土流失，影响植物生长，破坏地面建筑物，对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临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用用地及其周边生态环境产生影响，需做好监控工作，及时发现和预报滑坡，</w:t>
            </w:r>
          </w:p>
          <w:p>
            <w:pPr>
              <w:spacing w:before="1" w:line="220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减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少滑坡可能造成的灾害。</w:t>
            </w:r>
          </w:p>
          <w:p>
            <w:pPr>
              <w:spacing w:before="137" w:line="375" w:lineRule="auto"/>
              <w:ind w:left="129" w:right="50" w:firstLine="5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二)工程技术措施：  (1)本项目建设结束后，对场地进行清理，进行表层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清理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及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平整，平整后进行表土回覆，覆土后全场进行土壤改良，植被恢复，播撒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草籽等工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作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；  (2)复垦监测措施：对整个项目复垦责任范围进行动态监测，同时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对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复垦过程的复垦措施、复垦效果等监测。</w:t>
            </w:r>
          </w:p>
          <w:p>
            <w:pPr>
              <w:spacing w:before="6" w:line="380" w:lineRule="auto"/>
              <w:ind w:left="102" w:right="52" w:firstLine="5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)生物化学措施：  (1)对复垦林地区域选择适宜当地的树种，复垦后进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行适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管理，包括浇水、施肥、除草、除虫等， 同时淘汰劣质树种。 (2)对复垦</w:t>
            </w:r>
          </w:p>
          <w:p>
            <w:pPr>
              <w:spacing w:before="2" w:line="372" w:lineRule="auto"/>
              <w:ind w:left="166" w:right="93" w:hanging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为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耕地区域进行土壤改良，采用客土法、绿肥法等方法，对复垦后的土层进行改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良，提高土体有机质含量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。</w:t>
            </w:r>
          </w:p>
          <w:p>
            <w:pPr>
              <w:spacing w:before="9" w:line="378" w:lineRule="auto"/>
              <w:ind w:left="130" w:right="75" w:firstLine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六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、基本同意报告书提出的土地复垦标准、工程设计及工程量测算。在具体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实施过程中，要进一步加强并细化复垦工程设计，明确施工过程中的具体参数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增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加方案的可操作性。</w:t>
            </w:r>
          </w:p>
          <w:p>
            <w:pPr>
              <w:spacing w:line="239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七、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本同意土地复垦投资估算结果。确定复垦工程静态投资总计15.48万</w:t>
            </w:r>
          </w:p>
          <w:p>
            <w:pPr>
              <w:spacing w:before="167" w:line="377" w:lineRule="auto"/>
              <w:ind w:left="99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元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，动态总投资为1</w:t>
            </w:r>
            <w:r>
              <w:rPr>
                <w:rFonts w:hint="eastAsia" w:ascii="宋体" w:hAnsi="宋体" w:eastAsia="宋体" w:cs="宋体"/>
                <w:spacing w:val="12"/>
                <w:sz w:val="22"/>
                <w:szCs w:val="22"/>
                <w:lang w:val="en-US" w:eastAsia="zh-CN"/>
              </w:rPr>
              <w:t>7.38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万元。拟复垦土地面积0.5488公顷，计算复垦土地亩均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静态亩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均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投资为17718.67元/亩，动态亩均投资19671.93元/亩。复垦义务人为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云南省建设投资控股集团有限公司，复垦工作由复垦义务人组织施工队伍自行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30"/>
          <w:pgMar w:top="1430" w:right="1146" w:bottom="0" w:left="1788" w:header="0" w:footer="0" w:gutter="0"/>
          <w:cols w:space="720" w:num="1"/>
        </w:sectPr>
      </w:pPr>
    </w:p>
    <w:p/>
    <w:p>
      <w:pPr>
        <w:spacing w:line="101" w:lineRule="exact"/>
      </w:pPr>
    </w:p>
    <w:tbl>
      <w:tblPr>
        <w:tblStyle w:val="4"/>
        <w:tblW w:w="8923" w:type="dxa"/>
        <w:tblInd w:w="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9" w:hRule="atLeast"/>
        </w:trPr>
        <w:tc>
          <w:tcPr>
            <w:tcW w:w="6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5" w:type="dxa"/>
            <w:noWrap w:val="0"/>
            <w:vAlign w:val="top"/>
          </w:tcPr>
          <w:p>
            <w:pPr>
              <w:spacing w:before="130" w:line="375" w:lineRule="auto"/>
              <w:ind w:left="111" w:right="47" w:firstLine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垦。业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主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单位要进一步明确土地复垦费用从建设生产成本中提取，加大土地复垦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前期提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取额度，并根据复垦工作安排制定土地复垦计划，采取有效措施保障复垦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费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专款专用。费用不足的，要及时足额追加投资，确保土地复垦工作的顺利进行。</w:t>
            </w:r>
          </w:p>
          <w:p>
            <w:pPr>
              <w:spacing w:before="2" w:line="378" w:lineRule="auto"/>
              <w:ind w:left="100" w:right="59" w:firstLine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综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上所述，该土地复垦方案编制的内容和成果总体符合土地复垦相关法律法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规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和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技术规程规范的要求，相关分析评价依据较为充分，结论基本可信，对复垦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责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任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范围内损毁土地确定的复垦目标任务和拟采取的复垦措施基本合理，复垦投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资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估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(测)算结果基本准确，制定的复垦工作计划、费用安排及相关保障措施具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可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操作性，可作为指导土地复垦义务人(生产建设单位)开展土地复垦工作的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依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据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。专家组原则同通过评审，需尽快按与会专家提出的修改意见进行补充完善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后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在规定时限内按程序报自然资源主管部门审核备案。若项目性质、规模、地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点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范围或采用的生产工艺等发生重大变化，应在规定时限内对本复垦方案进行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修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订或重新编制土地复垦方案，并报原审查的自然资源主管部门审查批准备案。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38" w:lineRule="auto"/>
              <w:ind w:left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专家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组长签名：                       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年    月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30"/>
          <w:pgMar w:top="1430" w:right="1137" w:bottom="0" w:left="1788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tbl>
      <w:tblPr>
        <w:tblStyle w:val="2"/>
        <w:tblW w:w="910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40"/>
        <w:gridCol w:w="1080"/>
        <w:gridCol w:w="1572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云南南方地勘工程有限公司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水环保地质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13608823512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大理市第一建设工程有限责任公司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13577872478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大理州林草疫局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13577216409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甘豫云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13987203278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大理州水利水电勘测设计研究院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13887218809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56" w:line="194" w:lineRule="auto"/>
        <w:ind w:right="102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0"/>
          <w:sz w:val="17"/>
          <w:szCs w:val="17"/>
        </w:rPr>
        <w:t>—</w:t>
      </w:r>
      <w:r>
        <w:rPr>
          <w:rFonts w:ascii="宋体" w:hAnsi="宋体" w:eastAsia="宋体" w:cs="宋体"/>
          <w:spacing w:val="-19"/>
          <w:sz w:val="17"/>
          <w:szCs w:val="17"/>
        </w:rPr>
        <w:t>4—</w:t>
      </w:r>
    </w:p>
    <w:sectPr>
      <w:pgSz w:w="11900" w:h="16840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NTJjZjA1MzEyM2U2Mjc5Zjg1NjQ5NjU1MGZiYjMifQ=="/>
  </w:docVars>
  <w:rsids>
    <w:rsidRoot w:val="00000000"/>
    <w:rsid w:val="07CD7F0F"/>
    <w:rsid w:val="170B19CF"/>
    <w:rsid w:val="1DD51CC0"/>
    <w:rsid w:val="27A174C3"/>
    <w:rsid w:val="2AE83899"/>
    <w:rsid w:val="2EDA4EED"/>
    <w:rsid w:val="33A1422B"/>
    <w:rsid w:val="3F0F0EDF"/>
    <w:rsid w:val="457514CA"/>
    <w:rsid w:val="46B9634E"/>
    <w:rsid w:val="4B5160DF"/>
    <w:rsid w:val="4C67775D"/>
    <w:rsid w:val="5DE07D12"/>
    <w:rsid w:val="5E956D47"/>
    <w:rsid w:val="6E8E1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Style w:val="2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2041</Words>
  <Characters>2229</Characters>
  <TotalTime>1</TotalTime>
  <ScaleCrop>false</ScaleCrop>
  <LinksUpToDate>false</LinksUpToDate>
  <CharactersWithSpaces>2323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2023-03-13T13:59:00Z</dcterms:created>
  <dc:creator>Kingsoft-PDF</dc:creator>
  <cp:lastModifiedBy>CM3988</cp:lastModifiedBy>
  <dcterms:modified xsi:type="dcterms:W3CDTF">2023-03-22T01:23:16Z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2023-03-13T17:32:27Z</vt:filetime>
  </property>
  <property fmtid="{D5CDD505-2E9C-101B-9397-08002B2CF9AE}" pid="4" name="KSOProductBuildVer">
    <vt:lpwstr>2052-11.8.6.8810</vt:lpwstr>
  </property>
  <property fmtid="{D5CDD505-2E9C-101B-9397-08002B2CF9AE}" pid="5" name="ICV">
    <vt:lpwstr>F8E75D8154FB49CD947FCB9763BA9E2D</vt:lpwstr>
  </property>
</Properties>
</file>