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附件6</w:t>
      </w:r>
    </w:p>
    <w:p>
      <w:pPr>
        <w:widowControl w:val="0"/>
        <w:numPr>
          <w:ilvl w:val="0"/>
          <w:numId w:val="0"/>
        </w:numPr>
        <w:ind w:firstLine="880" w:firstLineChars="200"/>
        <w:jc w:val="both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  <w:t>2023年度州属企业审计标段及范围</w:t>
      </w:r>
    </w:p>
    <w:bookmarkEnd w:id="0"/>
    <w:tbl>
      <w:tblPr>
        <w:tblStyle w:val="2"/>
        <w:tblW w:w="86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743"/>
        <w:gridCol w:w="5221"/>
        <w:gridCol w:w="1679"/>
        <w:gridCol w:w="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620" w:hRule="atLeast"/>
        </w:trPr>
        <w:tc>
          <w:tcPr>
            <w:tcW w:w="8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A标段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64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编号</w:t>
            </w:r>
          </w:p>
        </w:tc>
        <w:tc>
          <w:tcPr>
            <w:tcW w:w="5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资产总额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400" w:hRule="atLeast"/>
        </w:trPr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段</w:t>
            </w:r>
          </w:p>
        </w:tc>
        <w:tc>
          <w:tcPr>
            <w:tcW w:w="5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  <w:t>大理州国有资本投资运营（集团）有限公司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3,040,328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520" w:hRule="atLeast"/>
        </w:trPr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  <w:t>大理州建设投资（集团）有限公司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597,617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520" w:hRule="atLeast"/>
        </w:trPr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A标段合计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3,637,945 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320" w:firstLineChars="1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B标段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       </w:t>
      </w:r>
    </w:p>
    <w:p>
      <w:pPr>
        <w:widowControl w:val="0"/>
        <w:numPr>
          <w:ilvl w:val="0"/>
          <w:numId w:val="0"/>
        </w:numPr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单位：万元</w:t>
      </w:r>
    </w:p>
    <w:tbl>
      <w:tblPr>
        <w:tblStyle w:val="2"/>
        <w:tblW w:w="146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5857"/>
        <w:gridCol w:w="1669"/>
        <w:gridCol w:w="240"/>
        <w:gridCol w:w="62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编号</w:t>
            </w:r>
          </w:p>
        </w:tc>
        <w:tc>
          <w:tcPr>
            <w:tcW w:w="58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资产总额</w:t>
            </w:r>
          </w:p>
        </w:tc>
        <w:tc>
          <w:tcPr>
            <w:tcW w:w="24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20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  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段</w:t>
            </w:r>
          </w:p>
        </w:tc>
        <w:tc>
          <w:tcPr>
            <w:tcW w:w="5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大理州交通投资开发(集团)有限公司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2,445,222 </w:t>
            </w:r>
          </w:p>
        </w:tc>
        <w:tc>
          <w:tcPr>
            <w:tcW w:w="240" w:type="dxa"/>
            <w:tcBorders>
              <w:top w:val="nil"/>
              <w:left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204" w:type="dxa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大理州工业投资（集团）有限公司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840,983 </w:t>
            </w:r>
          </w:p>
        </w:tc>
        <w:tc>
          <w:tcPr>
            <w:tcW w:w="644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B标段合计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3,286,205</w:t>
            </w:r>
          </w:p>
        </w:tc>
        <w:tc>
          <w:tcPr>
            <w:tcW w:w="644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（注：</w:t>
      </w:r>
      <w:r>
        <w:rPr>
          <w:rFonts w:hint="eastAsia" w:ascii="宋体" w:hAnsi="宋体" w:eastAsia="方正仿宋_GBK" w:cs="方正仿宋_GBK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以上数据来源为2023年9月国有企业财务快报统计数据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570AF"/>
    <w:rsid w:val="3E35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2023-11-06T09:08:00Z</dcterms:created>
  <dc:creator>国资委管理员</dc:creator>
  <cp:lastModifiedBy>国资委管理员</cp:lastModifiedBy>
  <dcterms:modified xsi:type="dcterms:W3CDTF">2023-11-06T09:09:28Z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04D9683EA7F84A9E91A4257039A6941D</vt:lpwstr>
  </property>
</Properties>
</file>