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A902">
      <w:pPr>
        <w:jc w:val="center"/>
        <w:rPr>
          <w:rFonts w:ascii="宋体" w:hAnsi="宋体" w:cs="宋体"/>
          <w:b/>
          <w:bCs/>
          <w:color w:val="auto"/>
          <w:sz w:val="32"/>
          <w:szCs w:val="32"/>
        </w:rPr>
      </w:pPr>
      <w:r>
        <w:rPr>
          <w:rFonts w:hint="eastAsia" w:ascii="宋体" w:hAnsi="宋体" w:cs="宋体"/>
          <w:b/>
          <w:bCs/>
          <w:color w:val="auto"/>
          <w:sz w:val="32"/>
          <w:szCs w:val="32"/>
          <w:lang w:eastAsia="zh-CN"/>
        </w:rPr>
        <w:t>云龙至永平高速公路工程建设项目永平县境内（九期）临时用地</w:t>
      </w:r>
      <w:r>
        <w:rPr>
          <w:rFonts w:hint="eastAsia" w:ascii="宋体" w:hAnsi="宋体" w:cs="宋体"/>
          <w:b/>
          <w:bCs/>
          <w:color w:val="auto"/>
          <w:sz w:val="32"/>
          <w:szCs w:val="32"/>
        </w:rPr>
        <w:t>土地复垦方案专家组评审意见</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25"/>
        <w:gridCol w:w="2149"/>
        <w:gridCol w:w="4488"/>
      </w:tblGrid>
      <w:tr w14:paraId="21F4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2651" w:type="dxa"/>
            <w:gridSpan w:val="2"/>
            <w:tcBorders>
              <w:top w:val="single" w:color="auto" w:sz="4" w:space="0"/>
              <w:left w:val="single" w:color="auto" w:sz="4" w:space="0"/>
              <w:bottom w:val="single" w:color="auto" w:sz="4" w:space="0"/>
              <w:right w:val="single" w:color="auto" w:sz="4" w:space="0"/>
            </w:tcBorders>
            <w:vAlign w:val="center"/>
          </w:tcPr>
          <w:p w14:paraId="43AAB496">
            <w:pPr>
              <w:jc w:val="center"/>
              <w:rPr>
                <w:color w:val="auto"/>
                <w:sz w:val="24"/>
              </w:rPr>
            </w:pPr>
            <w:r>
              <w:rPr>
                <w:rFonts w:hint="eastAsia" w:cs="宋体"/>
                <w:color w:val="auto"/>
                <w:sz w:val="24"/>
              </w:rPr>
              <w:t>生产</w:t>
            </w:r>
            <w:r>
              <w:rPr>
                <w:color w:val="auto"/>
                <w:sz w:val="24"/>
              </w:rPr>
              <w:t>(</w:t>
            </w:r>
            <w:r>
              <w:rPr>
                <w:rFonts w:hint="eastAsia" w:cs="宋体"/>
                <w:color w:val="auto"/>
                <w:sz w:val="24"/>
              </w:rPr>
              <w:t>建设</w:t>
            </w:r>
            <w:r>
              <w:rPr>
                <w:color w:val="auto"/>
                <w:sz w:val="24"/>
              </w:rPr>
              <w:t>)</w:t>
            </w:r>
            <w:r>
              <w:rPr>
                <w:rFonts w:hint="eastAsia" w:cs="宋体"/>
                <w:color w:val="auto"/>
                <w:sz w:val="24"/>
              </w:rPr>
              <w:t>项目名称</w:t>
            </w:r>
          </w:p>
        </w:tc>
        <w:tc>
          <w:tcPr>
            <w:tcW w:w="6637" w:type="dxa"/>
            <w:gridSpan w:val="2"/>
            <w:tcBorders>
              <w:top w:val="single" w:color="auto" w:sz="4" w:space="0"/>
              <w:left w:val="single" w:color="auto" w:sz="4" w:space="0"/>
              <w:bottom w:val="single" w:color="auto" w:sz="4" w:space="0"/>
              <w:right w:val="single" w:color="auto" w:sz="4" w:space="0"/>
            </w:tcBorders>
            <w:vAlign w:val="center"/>
          </w:tcPr>
          <w:p w14:paraId="0261A2D8">
            <w:pPr>
              <w:jc w:val="center"/>
              <w:rPr>
                <w:rFonts w:cs="宋体"/>
                <w:color w:val="auto"/>
                <w:sz w:val="24"/>
              </w:rPr>
            </w:pPr>
            <w:r>
              <w:rPr>
                <w:rFonts w:hint="eastAsia" w:cs="宋体"/>
                <w:color w:val="auto"/>
                <w:sz w:val="24"/>
                <w:lang w:eastAsia="zh-CN"/>
              </w:rPr>
              <w:t>云龙至永平高速公路工程建设项目永平县境内（九期）临时用地</w:t>
            </w:r>
            <w:r>
              <w:rPr>
                <w:rFonts w:hint="eastAsia" w:cs="宋体"/>
                <w:color w:val="auto"/>
                <w:sz w:val="24"/>
              </w:rPr>
              <w:t>土地复垦方案</w:t>
            </w:r>
          </w:p>
        </w:tc>
      </w:tr>
      <w:tr w14:paraId="453F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651" w:type="dxa"/>
            <w:gridSpan w:val="2"/>
            <w:tcBorders>
              <w:top w:val="single" w:color="auto" w:sz="4" w:space="0"/>
              <w:left w:val="single" w:color="auto" w:sz="4" w:space="0"/>
              <w:bottom w:val="single" w:color="auto" w:sz="4" w:space="0"/>
              <w:right w:val="single" w:color="auto" w:sz="4" w:space="0"/>
            </w:tcBorders>
            <w:vAlign w:val="center"/>
          </w:tcPr>
          <w:p w14:paraId="6DF37C2D">
            <w:pPr>
              <w:jc w:val="center"/>
              <w:rPr>
                <w:color w:val="auto"/>
                <w:sz w:val="24"/>
              </w:rPr>
            </w:pPr>
            <w:r>
              <w:rPr>
                <w:rFonts w:hint="eastAsia" w:cs="宋体"/>
                <w:color w:val="auto"/>
                <w:sz w:val="24"/>
              </w:rPr>
              <w:t>生产</w:t>
            </w:r>
            <w:r>
              <w:rPr>
                <w:rFonts w:cs="宋体"/>
                <w:color w:val="auto"/>
                <w:sz w:val="24"/>
              </w:rPr>
              <w:t>(</w:t>
            </w:r>
            <w:r>
              <w:rPr>
                <w:rFonts w:hint="eastAsia" w:cs="宋体"/>
                <w:color w:val="auto"/>
                <w:sz w:val="24"/>
              </w:rPr>
              <w:t>建设</w:t>
            </w:r>
            <w:r>
              <w:rPr>
                <w:rFonts w:cs="宋体"/>
                <w:color w:val="auto"/>
                <w:sz w:val="24"/>
              </w:rPr>
              <w:t>)</w:t>
            </w:r>
            <w:r>
              <w:rPr>
                <w:rFonts w:hint="eastAsia" w:cs="宋体"/>
                <w:color w:val="auto"/>
                <w:sz w:val="24"/>
              </w:rPr>
              <w:t>单位名称</w:t>
            </w:r>
          </w:p>
        </w:tc>
        <w:tc>
          <w:tcPr>
            <w:tcW w:w="6637" w:type="dxa"/>
            <w:gridSpan w:val="2"/>
            <w:tcBorders>
              <w:top w:val="single" w:color="auto" w:sz="4" w:space="0"/>
              <w:left w:val="single" w:color="auto" w:sz="4" w:space="0"/>
              <w:bottom w:val="single" w:color="auto" w:sz="4" w:space="0"/>
              <w:right w:val="single" w:color="auto" w:sz="4" w:space="0"/>
            </w:tcBorders>
            <w:vAlign w:val="center"/>
          </w:tcPr>
          <w:p w14:paraId="0A1A50D5">
            <w:pPr>
              <w:jc w:val="center"/>
              <w:rPr>
                <w:rFonts w:hint="eastAsia" w:eastAsia="宋体" w:cs="宋体"/>
                <w:color w:val="auto"/>
                <w:sz w:val="24"/>
                <w:lang w:eastAsia="zh-CN"/>
              </w:rPr>
            </w:pPr>
            <w:r>
              <w:rPr>
                <w:rFonts w:hint="eastAsia" w:cs="宋体"/>
                <w:color w:val="auto"/>
                <w:sz w:val="24"/>
                <w:lang w:eastAsia="zh-CN"/>
              </w:rPr>
              <w:t>云南建投迪庆建设有限公司为</w:t>
            </w:r>
          </w:p>
        </w:tc>
      </w:tr>
      <w:tr w14:paraId="0F1F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2651" w:type="dxa"/>
            <w:gridSpan w:val="2"/>
            <w:tcBorders>
              <w:top w:val="single" w:color="auto" w:sz="4" w:space="0"/>
              <w:left w:val="single" w:color="auto" w:sz="4" w:space="0"/>
              <w:bottom w:val="single" w:color="auto" w:sz="4" w:space="0"/>
              <w:right w:val="single" w:color="auto" w:sz="4" w:space="0"/>
            </w:tcBorders>
            <w:vAlign w:val="center"/>
          </w:tcPr>
          <w:p w14:paraId="6A886A48">
            <w:pPr>
              <w:jc w:val="center"/>
              <w:rPr>
                <w:color w:val="auto"/>
                <w:sz w:val="24"/>
              </w:rPr>
            </w:pPr>
            <w:r>
              <w:rPr>
                <w:rFonts w:hint="eastAsia" w:cs="宋体"/>
                <w:color w:val="auto"/>
                <w:sz w:val="24"/>
              </w:rPr>
              <w:t>方案编制单位名称</w:t>
            </w:r>
          </w:p>
        </w:tc>
        <w:tc>
          <w:tcPr>
            <w:tcW w:w="6637" w:type="dxa"/>
            <w:gridSpan w:val="2"/>
            <w:tcBorders>
              <w:top w:val="single" w:color="auto" w:sz="4" w:space="0"/>
              <w:left w:val="single" w:color="auto" w:sz="4" w:space="0"/>
              <w:bottom w:val="single" w:color="auto" w:sz="4" w:space="0"/>
              <w:right w:val="single" w:color="auto" w:sz="4" w:space="0"/>
            </w:tcBorders>
            <w:vAlign w:val="center"/>
          </w:tcPr>
          <w:p w14:paraId="68D430E8">
            <w:pPr>
              <w:jc w:val="center"/>
              <w:rPr>
                <w:color w:val="auto"/>
                <w:sz w:val="24"/>
              </w:rPr>
            </w:pPr>
            <w:r>
              <w:rPr>
                <w:rFonts w:cs="宋体"/>
                <w:color w:val="auto"/>
                <w:sz w:val="24"/>
              </w:rPr>
              <w:t>云南英华地信科技有限公司</w:t>
            </w:r>
          </w:p>
        </w:tc>
      </w:tr>
      <w:tr w14:paraId="686A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2651" w:type="dxa"/>
            <w:gridSpan w:val="2"/>
            <w:vMerge w:val="restart"/>
            <w:tcBorders>
              <w:top w:val="single" w:color="auto" w:sz="4" w:space="0"/>
              <w:left w:val="single" w:color="auto" w:sz="4" w:space="0"/>
              <w:bottom w:val="single" w:color="auto" w:sz="4" w:space="0"/>
              <w:right w:val="single" w:color="auto" w:sz="4" w:space="0"/>
            </w:tcBorders>
            <w:vAlign w:val="center"/>
          </w:tcPr>
          <w:p w14:paraId="5FF45C96">
            <w:pPr>
              <w:spacing w:line="260" w:lineRule="exact"/>
              <w:jc w:val="center"/>
              <w:rPr>
                <w:rFonts w:ascii="宋体"/>
                <w:color w:val="auto"/>
                <w:sz w:val="24"/>
              </w:rPr>
            </w:pPr>
            <w:r>
              <w:rPr>
                <w:rFonts w:hint="eastAsia" w:cs="宋体"/>
                <w:color w:val="auto"/>
                <w:sz w:val="24"/>
              </w:rPr>
              <w:t>项目用地面积</w:t>
            </w:r>
          </w:p>
        </w:tc>
        <w:tc>
          <w:tcPr>
            <w:tcW w:w="2149" w:type="dxa"/>
            <w:tcBorders>
              <w:top w:val="single" w:color="auto" w:sz="4" w:space="0"/>
              <w:left w:val="single" w:color="auto" w:sz="4" w:space="0"/>
              <w:bottom w:val="single" w:color="auto" w:sz="4" w:space="0"/>
              <w:right w:val="single" w:color="auto" w:sz="4" w:space="0"/>
            </w:tcBorders>
            <w:vAlign w:val="center"/>
          </w:tcPr>
          <w:p w14:paraId="510E3861">
            <w:pPr>
              <w:spacing w:line="260" w:lineRule="exact"/>
              <w:jc w:val="center"/>
              <w:rPr>
                <w:color w:val="auto"/>
                <w:sz w:val="24"/>
              </w:rPr>
            </w:pPr>
            <w:r>
              <w:rPr>
                <w:rFonts w:hint="eastAsia" w:cs="宋体"/>
                <w:color w:val="auto"/>
                <w:sz w:val="24"/>
              </w:rPr>
              <w:t>项目区面积</w:t>
            </w:r>
          </w:p>
        </w:tc>
        <w:tc>
          <w:tcPr>
            <w:tcW w:w="4488" w:type="dxa"/>
            <w:tcBorders>
              <w:top w:val="single" w:color="auto" w:sz="4" w:space="0"/>
              <w:left w:val="single" w:color="auto" w:sz="4" w:space="0"/>
              <w:bottom w:val="single" w:color="auto" w:sz="4" w:space="0"/>
              <w:right w:val="single" w:color="auto" w:sz="4" w:space="0"/>
            </w:tcBorders>
            <w:vAlign w:val="center"/>
          </w:tcPr>
          <w:p w14:paraId="39E1F53B">
            <w:pPr>
              <w:spacing w:line="260" w:lineRule="exact"/>
              <w:jc w:val="center"/>
              <w:rPr>
                <w:rFonts w:hint="eastAsia" w:ascii="Times New Roman" w:hAnsi="Times New Roman" w:cs="宋体"/>
                <w:color w:val="auto"/>
                <w:sz w:val="24"/>
                <w:lang w:val="en-US" w:eastAsia="zh-CN"/>
              </w:rPr>
            </w:pPr>
            <w:r>
              <w:rPr>
                <w:rFonts w:hint="eastAsia" w:ascii="Times New Roman" w:hAnsi="Times New Roman" w:cs="宋体"/>
                <w:color w:val="auto"/>
                <w:sz w:val="24"/>
                <w:lang w:val="en-US" w:eastAsia="zh-CN"/>
              </w:rPr>
              <w:t>0.8897公顷</w:t>
            </w:r>
          </w:p>
        </w:tc>
      </w:tr>
      <w:tr w14:paraId="116A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2651" w:type="dxa"/>
            <w:gridSpan w:val="2"/>
            <w:vMerge w:val="continue"/>
            <w:tcBorders>
              <w:top w:val="single" w:color="auto" w:sz="4" w:space="0"/>
              <w:left w:val="single" w:color="auto" w:sz="4" w:space="0"/>
              <w:bottom w:val="single" w:color="auto" w:sz="4" w:space="0"/>
              <w:right w:val="single" w:color="auto" w:sz="4" w:space="0"/>
            </w:tcBorders>
            <w:vAlign w:val="center"/>
          </w:tcPr>
          <w:p w14:paraId="0B206101">
            <w:pPr>
              <w:widowControl/>
              <w:jc w:val="left"/>
              <w:rPr>
                <w:color w:val="auto"/>
                <w:sz w:val="24"/>
              </w:rPr>
            </w:pPr>
          </w:p>
        </w:tc>
        <w:tc>
          <w:tcPr>
            <w:tcW w:w="2149" w:type="dxa"/>
            <w:tcBorders>
              <w:top w:val="single" w:color="auto" w:sz="4" w:space="0"/>
              <w:left w:val="single" w:color="auto" w:sz="4" w:space="0"/>
              <w:bottom w:val="single" w:color="auto" w:sz="4" w:space="0"/>
              <w:right w:val="single" w:color="auto" w:sz="4" w:space="0"/>
            </w:tcBorders>
            <w:vAlign w:val="center"/>
          </w:tcPr>
          <w:p w14:paraId="1FAB57A0">
            <w:pPr>
              <w:spacing w:line="260" w:lineRule="exact"/>
              <w:jc w:val="center"/>
              <w:rPr>
                <w:color w:val="auto"/>
                <w:sz w:val="24"/>
              </w:rPr>
            </w:pPr>
            <w:r>
              <w:rPr>
                <w:rFonts w:hint="eastAsia" w:cs="宋体"/>
                <w:color w:val="auto"/>
                <w:sz w:val="24"/>
              </w:rPr>
              <w:t>拟损毁土地面积</w:t>
            </w:r>
          </w:p>
        </w:tc>
        <w:tc>
          <w:tcPr>
            <w:tcW w:w="4488" w:type="dxa"/>
            <w:tcBorders>
              <w:top w:val="single" w:color="auto" w:sz="4" w:space="0"/>
              <w:left w:val="single" w:color="auto" w:sz="4" w:space="0"/>
              <w:bottom w:val="single" w:color="auto" w:sz="4" w:space="0"/>
              <w:right w:val="single" w:color="auto" w:sz="4" w:space="0"/>
            </w:tcBorders>
            <w:vAlign w:val="center"/>
          </w:tcPr>
          <w:p w14:paraId="645E1972">
            <w:pPr>
              <w:spacing w:line="260" w:lineRule="exact"/>
              <w:jc w:val="center"/>
              <w:rPr>
                <w:rFonts w:hint="eastAsia" w:ascii="Times New Roman" w:hAnsi="Times New Roman" w:cs="宋体"/>
                <w:color w:val="auto"/>
                <w:sz w:val="24"/>
                <w:lang w:val="en-US" w:eastAsia="zh-CN"/>
              </w:rPr>
            </w:pPr>
            <w:r>
              <w:rPr>
                <w:rFonts w:hint="eastAsia" w:ascii="Times New Roman" w:hAnsi="Times New Roman" w:cs="宋体"/>
                <w:color w:val="auto"/>
                <w:sz w:val="24"/>
                <w:lang w:val="en-US" w:eastAsia="zh-CN"/>
              </w:rPr>
              <w:t>0.8897公顷</w:t>
            </w:r>
          </w:p>
        </w:tc>
      </w:tr>
      <w:tr w14:paraId="72E2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4800" w:type="dxa"/>
            <w:gridSpan w:val="3"/>
            <w:tcBorders>
              <w:top w:val="single" w:color="auto" w:sz="4" w:space="0"/>
              <w:left w:val="single" w:color="auto" w:sz="4" w:space="0"/>
              <w:bottom w:val="single" w:color="auto" w:sz="4" w:space="0"/>
              <w:right w:val="single" w:color="auto" w:sz="4" w:space="0"/>
            </w:tcBorders>
            <w:vAlign w:val="center"/>
          </w:tcPr>
          <w:p w14:paraId="76386091">
            <w:pPr>
              <w:spacing w:line="260" w:lineRule="exact"/>
              <w:jc w:val="center"/>
              <w:rPr>
                <w:rFonts w:cs="宋体"/>
                <w:color w:val="auto"/>
                <w:sz w:val="24"/>
              </w:rPr>
            </w:pPr>
            <w:r>
              <w:rPr>
                <w:rFonts w:hint="eastAsia" w:cs="宋体"/>
                <w:color w:val="auto"/>
                <w:sz w:val="24"/>
              </w:rPr>
              <w:t>生产能力</w:t>
            </w:r>
            <w:r>
              <w:rPr>
                <w:rFonts w:cs="宋体"/>
                <w:color w:val="auto"/>
                <w:sz w:val="24"/>
              </w:rPr>
              <w:t>(</w:t>
            </w:r>
            <w:r>
              <w:rPr>
                <w:rFonts w:hint="eastAsia" w:cs="宋体"/>
                <w:color w:val="auto"/>
                <w:sz w:val="24"/>
              </w:rPr>
              <w:t>或投资规模</w:t>
            </w:r>
            <w:r>
              <w:rPr>
                <w:rFonts w:cs="宋体"/>
                <w:color w:val="auto"/>
                <w:sz w:val="24"/>
              </w:rPr>
              <w:t>)</w:t>
            </w:r>
          </w:p>
        </w:tc>
        <w:tc>
          <w:tcPr>
            <w:tcW w:w="4488" w:type="dxa"/>
            <w:tcBorders>
              <w:top w:val="single" w:color="auto" w:sz="4" w:space="0"/>
              <w:left w:val="single" w:color="auto" w:sz="4" w:space="0"/>
              <w:bottom w:val="single" w:color="auto" w:sz="4" w:space="0"/>
              <w:right w:val="single" w:color="auto" w:sz="4" w:space="0"/>
            </w:tcBorders>
            <w:vAlign w:val="center"/>
          </w:tcPr>
          <w:p w14:paraId="4D8B3C97">
            <w:pPr>
              <w:spacing w:line="260" w:lineRule="exact"/>
              <w:jc w:val="center"/>
              <w:rPr>
                <w:rFonts w:cs="宋体"/>
                <w:color w:val="auto"/>
                <w:sz w:val="24"/>
              </w:rPr>
            </w:pPr>
            <w:r>
              <w:rPr>
                <w:rFonts w:hint="eastAsia" w:cs="宋体"/>
                <w:color w:val="auto"/>
                <w:sz w:val="24"/>
                <w:lang w:val="en-US" w:eastAsia="zh-CN"/>
              </w:rPr>
              <w:t>59.0046</w:t>
            </w:r>
            <w:r>
              <w:rPr>
                <w:rFonts w:hint="eastAsia" w:cs="宋体"/>
                <w:color w:val="auto"/>
                <w:sz w:val="24"/>
              </w:rPr>
              <w:t>万元</w:t>
            </w:r>
          </w:p>
        </w:tc>
      </w:tr>
      <w:tr w14:paraId="1450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4800" w:type="dxa"/>
            <w:gridSpan w:val="3"/>
            <w:tcBorders>
              <w:top w:val="single" w:color="auto" w:sz="4" w:space="0"/>
              <w:left w:val="single" w:color="auto" w:sz="4" w:space="0"/>
              <w:bottom w:val="single" w:color="auto" w:sz="4" w:space="0"/>
              <w:right w:val="single" w:color="auto" w:sz="4" w:space="0"/>
            </w:tcBorders>
            <w:vAlign w:val="center"/>
          </w:tcPr>
          <w:p w14:paraId="62C69832">
            <w:pPr>
              <w:spacing w:line="260" w:lineRule="exact"/>
              <w:jc w:val="center"/>
              <w:rPr>
                <w:color w:val="auto"/>
                <w:sz w:val="24"/>
              </w:rPr>
            </w:pPr>
            <w:r>
              <w:rPr>
                <w:rFonts w:hint="eastAsia" w:cs="宋体"/>
                <w:color w:val="auto"/>
                <w:sz w:val="24"/>
              </w:rPr>
              <w:t>生产年限</w:t>
            </w:r>
            <w:r>
              <w:rPr>
                <w:color w:val="auto"/>
                <w:sz w:val="24"/>
              </w:rPr>
              <w:t>(</w:t>
            </w:r>
            <w:r>
              <w:rPr>
                <w:rFonts w:hint="eastAsia" w:cs="宋体"/>
                <w:color w:val="auto"/>
                <w:sz w:val="24"/>
              </w:rPr>
              <w:t>或建设期限</w:t>
            </w:r>
            <w:r>
              <w:rPr>
                <w:color w:val="auto"/>
                <w:sz w:val="24"/>
              </w:rPr>
              <w:t>)</w:t>
            </w:r>
          </w:p>
        </w:tc>
        <w:tc>
          <w:tcPr>
            <w:tcW w:w="4488" w:type="dxa"/>
            <w:tcBorders>
              <w:top w:val="single" w:color="auto" w:sz="4" w:space="0"/>
              <w:left w:val="single" w:color="auto" w:sz="4" w:space="0"/>
              <w:bottom w:val="single" w:color="auto" w:sz="4" w:space="0"/>
              <w:right w:val="single" w:color="auto" w:sz="4" w:space="0"/>
            </w:tcBorders>
            <w:vAlign w:val="center"/>
          </w:tcPr>
          <w:p w14:paraId="7664D4DD">
            <w:pPr>
              <w:spacing w:line="260" w:lineRule="exact"/>
              <w:jc w:val="center"/>
              <w:rPr>
                <w:rFonts w:hint="eastAsia" w:cs="宋体"/>
                <w:color w:val="auto"/>
                <w:sz w:val="24"/>
                <w:lang w:eastAsia="zh-CN"/>
              </w:rPr>
            </w:pPr>
            <w:r>
              <w:rPr>
                <w:rFonts w:hint="eastAsia" w:cs="宋体"/>
                <w:color w:val="auto"/>
                <w:sz w:val="24"/>
                <w:lang w:val="en-US" w:eastAsia="zh-CN"/>
              </w:rPr>
              <w:t>6</w:t>
            </w:r>
            <w:r>
              <w:rPr>
                <w:rFonts w:hint="eastAsia" w:cs="宋体"/>
                <w:color w:val="auto"/>
                <w:sz w:val="24"/>
                <w:lang w:eastAsia="zh-CN"/>
              </w:rPr>
              <w:t>年</w:t>
            </w:r>
            <w:r>
              <w:rPr>
                <w:rFonts w:hint="eastAsia" w:cs="宋体"/>
                <w:color w:val="auto"/>
                <w:sz w:val="24"/>
                <w:lang w:val="en-US" w:eastAsia="zh-CN"/>
              </w:rPr>
              <w:t>11</w:t>
            </w:r>
            <w:r>
              <w:rPr>
                <w:rFonts w:hint="eastAsia" w:cs="宋体"/>
                <w:color w:val="auto"/>
                <w:sz w:val="24"/>
                <w:lang w:eastAsia="zh-CN"/>
              </w:rPr>
              <w:t>个月（2025年6月至203</w:t>
            </w:r>
            <w:r>
              <w:rPr>
                <w:rFonts w:hint="eastAsia" w:cs="宋体"/>
                <w:color w:val="auto"/>
                <w:sz w:val="24"/>
                <w:lang w:val="en-US" w:eastAsia="zh-CN"/>
              </w:rPr>
              <w:t>2</w:t>
            </w:r>
            <w:r>
              <w:rPr>
                <w:rFonts w:hint="eastAsia" w:cs="宋体"/>
                <w:color w:val="auto"/>
                <w:sz w:val="24"/>
                <w:lang w:eastAsia="zh-CN"/>
              </w:rPr>
              <w:t>年4月）</w:t>
            </w:r>
          </w:p>
        </w:tc>
      </w:tr>
      <w:tr w14:paraId="027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14:paraId="27BAA4B6">
            <w:pPr>
              <w:jc w:val="center"/>
              <w:rPr>
                <w:color w:val="FF0000"/>
                <w:sz w:val="24"/>
              </w:rPr>
            </w:pPr>
            <w:r>
              <w:rPr>
                <w:rFonts w:hint="eastAsia" w:cs="宋体"/>
                <w:color w:val="auto"/>
                <w:sz w:val="24"/>
              </w:rPr>
              <w:t>专家评审意见</w:t>
            </w:r>
          </w:p>
        </w:tc>
        <w:tc>
          <w:tcPr>
            <w:tcW w:w="8662" w:type="dxa"/>
            <w:gridSpan w:val="3"/>
            <w:tcBorders>
              <w:top w:val="single" w:color="auto" w:sz="4" w:space="0"/>
              <w:left w:val="single" w:color="auto" w:sz="4" w:space="0"/>
              <w:bottom w:val="single" w:color="auto" w:sz="4" w:space="0"/>
              <w:right w:val="single" w:color="auto" w:sz="4" w:space="0"/>
            </w:tcBorders>
            <w:vAlign w:val="center"/>
          </w:tcPr>
          <w:p w14:paraId="468BFC45">
            <w:pPr>
              <w:snapToGrid w:val="0"/>
              <w:spacing w:line="360" w:lineRule="auto"/>
              <w:ind w:firstLine="480"/>
              <w:rPr>
                <w:color w:val="auto"/>
                <w:sz w:val="24"/>
              </w:rPr>
            </w:pPr>
            <w:r>
              <w:rPr>
                <w:rFonts w:hint="eastAsia" w:cs="宋体"/>
                <w:color w:val="auto"/>
                <w:sz w:val="24"/>
              </w:rPr>
              <w:t>根据国土资源部国土资发〔</w:t>
            </w:r>
            <w:r>
              <w:rPr>
                <w:color w:val="auto"/>
                <w:sz w:val="24"/>
              </w:rPr>
              <w:t>2007</w:t>
            </w:r>
            <w:r>
              <w:rPr>
                <w:rFonts w:hint="eastAsia" w:cs="宋体"/>
                <w:color w:val="auto"/>
                <w:sz w:val="24"/>
              </w:rPr>
              <w:t>〕</w:t>
            </w:r>
            <w:r>
              <w:rPr>
                <w:color w:val="auto"/>
                <w:sz w:val="24"/>
              </w:rPr>
              <w:t>81</w:t>
            </w:r>
            <w:r>
              <w:rPr>
                <w:rFonts w:hint="eastAsia" w:cs="宋体"/>
                <w:color w:val="auto"/>
                <w:sz w:val="24"/>
              </w:rPr>
              <w:t>号文</w:t>
            </w:r>
            <w:r>
              <w:rPr>
                <w:rFonts w:hint="eastAsia"/>
                <w:color w:val="auto"/>
                <w:sz w:val="24"/>
              </w:rPr>
              <w:t>“</w:t>
            </w:r>
            <w:r>
              <w:rPr>
                <w:rFonts w:hint="eastAsia" w:cs="宋体"/>
                <w:color w:val="auto"/>
                <w:sz w:val="24"/>
              </w:rPr>
              <w:t>关于组织土地复垦方案编制和审查有关问题的通知</w:t>
            </w:r>
            <w:r>
              <w:rPr>
                <w:rFonts w:hint="eastAsia"/>
                <w:color w:val="auto"/>
                <w:sz w:val="24"/>
              </w:rPr>
              <w:t>”</w:t>
            </w:r>
            <w:r>
              <w:rPr>
                <w:rFonts w:hint="eastAsia" w:cs="宋体"/>
                <w:color w:val="auto"/>
                <w:sz w:val="24"/>
              </w:rPr>
              <w:t>、国务院</w:t>
            </w:r>
            <w:r>
              <w:rPr>
                <w:color w:val="auto"/>
                <w:sz w:val="24"/>
              </w:rPr>
              <w:t>592</w:t>
            </w:r>
            <w:r>
              <w:rPr>
                <w:rFonts w:hint="eastAsia" w:cs="宋体"/>
                <w:color w:val="auto"/>
                <w:sz w:val="24"/>
              </w:rPr>
              <w:t>号令《土地复垦条例》、《土地复垦条例实施办法》、《土地复垦质量控制标准》及土地开发整理工程建设标准和土地复垦相关规程，大理州自然资源和规划局组织专家于202</w:t>
            </w:r>
            <w:r>
              <w:rPr>
                <w:rFonts w:hint="eastAsia" w:cs="宋体"/>
                <w:color w:val="auto"/>
                <w:sz w:val="24"/>
                <w:lang w:val="en-US" w:eastAsia="zh-CN"/>
              </w:rPr>
              <w:t>5</w:t>
            </w:r>
            <w:r>
              <w:rPr>
                <w:rFonts w:hint="eastAsia" w:cs="宋体"/>
                <w:color w:val="auto"/>
                <w:sz w:val="24"/>
              </w:rPr>
              <w:t>年</w:t>
            </w:r>
            <w:r>
              <w:rPr>
                <w:rFonts w:hint="eastAsia" w:cs="宋体"/>
                <w:color w:val="auto"/>
                <w:sz w:val="24"/>
                <w:lang w:val="en-US" w:eastAsia="zh-CN"/>
              </w:rPr>
              <w:t>6</w:t>
            </w:r>
            <w:r>
              <w:rPr>
                <w:rFonts w:hint="eastAsia" w:cs="宋体"/>
                <w:color w:val="auto"/>
                <w:sz w:val="24"/>
              </w:rPr>
              <w:t>月2</w:t>
            </w:r>
            <w:r>
              <w:rPr>
                <w:rFonts w:hint="eastAsia" w:cs="宋体"/>
                <w:color w:val="auto"/>
                <w:sz w:val="24"/>
                <w:lang w:val="en-US" w:eastAsia="zh-CN"/>
              </w:rPr>
              <w:t>5</w:t>
            </w:r>
            <w:r>
              <w:rPr>
                <w:rFonts w:hint="eastAsia" w:cs="宋体"/>
                <w:color w:val="auto"/>
                <w:sz w:val="24"/>
              </w:rPr>
              <w:t>日对</w:t>
            </w:r>
            <w:r>
              <w:rPr>
                <w:rFonts w:cs="宋体"/>
                <w:color w:val="auto"/>
                <w:sz w:val="24"/>
              </w:rPr>
              <w:t>云南英华地信科技有限公司</w:t>
            </w:r>
            <w:r>
              <w:rPr>
                <w:rFonts w:hint="eastAsia" w:cs="宋体"/>
                <w:color w:val="auto"/>
                <w:sz w:val="24"/>
              </w:rPr>
              <w:t>编制的“</w:t>
            </w:r>
            <w:r>
              <w:rPr>
                <w:rFonts w:hint="eastAsia" w:cs="宋体"/>
                <w:color w:val="auto"/>
                <w:sz w:val="24"/>
                <w:lang w:eastAsia="zh-CN"/>
              </w:rPr>
              <w:t>云龙至永平高速公路工程建设项目永平县境内（九期）临时用地</w:t>
            </w:r>
            <w:r>
              <w:rPr>
                <w:rFonts w:hint="eastAsia" w:cs="宋体"/>
                <w:color w:val="auto"/>
                <w:sz w:val="24"/>
              </w:rPr>
              <w:t>”进行了评审，形成如下审查意见：</w:t>
            </w:r>
          </w:p>
          <w:p w14:paraId="330F6849">
            <w:pPr>
              <w:snapToGrid w:val="0"/>
              <w:spacing w:line="360" w:lineRule="auto"/>
              <w:ind w:firstLine="480"/>
              <w:rPr>
                <w:color w:val="auto"/>
                <w:sz w:val="24"/>
              </w:rPr>
            </w:pPr>
            <w:r>
              <w:rPr>
                <w:rFonts w:hint="eastAsia" w:cs="宋体"/>
                <w:color w:val="auto"/>
                <w:sz w:val="24"/>
              </w:rPr>
              <w:t>一、本土地复垦方案报告书编制格式符合要求，内容齐全；调查研究与数据计算方法正确，基本可信；提出的各项土地复垦工程措施基本可行；复垦费用估算基本合理，可作为指导复垦义务人开展土地复垦工作的依据。</w:t>
            </w:r>
          </w:p>
          <w:p w14:paraId="4DBFC43B">
            <w:pPr>
              <w:spacing w:line="360" w:lineRule="auto"/>
              <w:ind w:firstLine="480" w:firstLineChars="200"/>
              <w:jc w:val="left"/>
              <w:rPr>
                <w:rFonts w:cs="宋体"/>
                <w:color w:val="auto"/>
                <w:sz w:val="24"/>
              </w:rPr>
            </w:pPr>
            <w:r>
              <w:rPr>
                <w:rFonts w:hint="eastAsia" w:cs="宋体"/>
                <w:color w:val="auto"/>
                <w:sz w:val="24"/>
              </w:rPr>
              <w:t>二、该项目位于永平县博南镇龙盘社区居民委员会</w:t>
            </w:r>
            <w:r>
              <w:rPr>
                <w:rFonts w:hint="eastAsia" w:cs="宋体"/>
                <w:color w:val="auto"/>
                <w:sz w:val="24"/>
                <w:lang w:eastAsia="zh-CN"/>
              </w:rPr>
              <w:t>、苏屯村民委员会、</w:t>
            </w:r>
            <w:r>
              <w:rPr>
                <w:rFonts w:hint="eastAsia" w:cs="宋体"/>
                <w:color w:val="auto"/>
                <w:sz w:val="24"/>
              </w:rPr>
              <w:t>坡脚村民委员会辖区内，项目临时用地面积0.8897公顷，复垦责任范围面积0.88</w:t>
            </w:r>
            <w:r>
              <w:rPr>
                <w:rFonts w:hint="eastAsia" w:cs="宋体"/>
                <w:color w:val="auto"/>
                <w:sz w:val="24"/>
                <w:lang w:val="en-US" w:eastAsia="zh-CN"/>
              </w:rPr>
              <w:t>79</w:t>
            </w:r>
            <w:r>
              <w:rPr>
                <w:rFonts w:hint="eastAsia" w:cs="宋体"/>
                <w:color w:val="auto"/>
                <w:sz w:val="24"/>
              </w:rPr>
              <w:t>公顷，占用三区三线永久基本农田</w:t>
            </w:r>
            <w:r>
              <w:rPr>
                <w:rFonts w:hint="eastAsia" w:cs="宋体"/>
                <w:color w:val="auto"/>
                <w:sz w:val="24"/>
                <w:lang w:val="en-US" w:eastAsia="zh-CN"/>
              </w:rPr>
              <w:t>0.0578公顷，其中水田0.0237公顷、旱地0.0341公顷</w:t>
            </w:r>
            <w:r>
              <w:rPr>
                <w:rFonts w:hint="eastAsia" w:cs="宋体"/>
                <w:color w:val="auto"/>
                <w:sz w:val="24"/>
              </w:rPr>
              <w:t>；不占用生态红线范围，</w:t>
            </w:r>
            <w:r>
              <w:rPr>
                <w:rFonts w:hint="eastAsia" w:cs="宋体"/>
                <w:color w:val="auto"/>
                <w:sz w:val="24"/>
                <w:lang w:eastAsia="zh-CN"/>
              </w:rPr>
              <w:t>云龙至永平高速公路工程建设项目永平县境内（九期）临时用地</w:t>
            </w:r>
            <w:r>
              <w:rPr>
                <w:rFonts w:hint="eastAsia" w:cs="宋体"/>
                <w:color w:val="auto"/>
                <w:sz w:val="24"/>
              </w:rPr>
              <w:t>涉及</w:t>
            </w:r>
            <w:r>
              <w:rPr>
                <w:rFonts w:hint="eastAsia" w:cs="宋体"/>
                <w:color w:val="auto"/>
                <w:sz w:val="24"/>
                <w:lang w:val="en-US" w:eastAsia="zh-CN"/>
              </w:rPr>
              <w:t>2条弃土场进场道路、2条施工便道共4个地块</w:t>
            </w:r>
            <w:r>
              <w:rPr>
                <w:rFonts w:hint="eastAsia" w:cs="宋体"/>
                <w:color w:val="auto"/>
                <w:sz w:val="24"/>
              </w:rPr>
              <w:t>，总占地面积0.8897公顷。</w:t>
            </w:r>
            <w:r>
              <w:rPr>
                <w:rFonts w:hint="eastAsia" w:cs="宋体"/>
                <w:color w:val="auto"/>
                <w:sz w:val="24"/>
                <w:lang w:eastAsia="zh-CN"/>
              </w:rPr>
              <w:t>云龙至永平高速公路工程建设项目永平县境内（九期）临时用地</w:t>
            </w:r>
            <w:r>
              <w:rPr>
                <w:rFonts w:hint="eastAsia" w:cs="宋体"/>
                <w:color w:val="auto"/>
                <w:sz w:val="24"/>
              </w:rPr>
              <w:t>涉及的临时用地</w:t>
            </w:r>
            <w:r>
              <w:rPr>
                <w:rFonts w:hint="eastAsia" w:cs="宋体"/>
                <w:color w:val="auto"/>
                <w:sz w:val="24"/>
                <w:lang w:val="en-US" w:eastAsia="zh-CN"/>
              </w:rPr>
              <w:t>均为拟损毁</w:t>
            </w:r>
            <w:r>
              <w:rPr>
                <w:rFonts w:hint="eastAsia" w:cs="宋体"/>
                <w:color w:val="auto"/>
                <w:sz w:val="24"/>
              </w:rPr>
              <w:t>，本项目临时用地总占地面积为0.8897公顷，其中水田0.0237 公顷、旱地0.0784公顷、乔木林地0.6299公顷、其他林地0.1056公顷、其他草地0.0281公顷、农村道路0.0018公顷、田坎0.0222公顷。土地复垦服务年限</w:t>
            </w:r>
            <w:r>
              <w:rPr>
                <w:rFonts w:hint="eastAsia" w:cs="宋体"/>
                <w:color w:val="auto"/>
                <w:sz w:val="24"/>
                <w:lang w:val="en-US" w:eastAsia="zh-CN"/>
              </w:rPr>
              <w:t>6</w:t>
            </w:r>
            <w:r>
              <w:rPr>
                <w:rFonts w:hint="eastAsia" w:cs="宋体"/>
                <w:color w:val="auto"/>
                <w:sz w:val="24"/>
              </w:rPr>
              <w:t>年</w:t>
            </w:r>
            <w:r>
              <w:rPr>
                <w:rFonts w:hint="eastAsia" w:cs="宋体"/>
                <w:color w:val="auto"/>
                <w:sz w:val="24"/>
                <w:lang w:val="en-US" w:eastAsia="zh-CN"/>
              </w:rPr>
              <w:t>11</w:t>
            </w:r>
            <w:r>
              <w:rPr>
                <w:rFonts w:hint="eastAsia" w:cs="宋体"/>
                <w:color w:val="auto"/>
                <w:sz w:val="24"/>
              </w:rPr>
              <w:t>个月，即</w:t>
            </w:r>
            <w:r>
              <w:rPr>
                <w:rFonts w:hint="eastAsia" w:cs="宋体"/>
                <w:color w:val="auto"/>
                <w:sz w:val="24"/>
                <w:lang w:eastAsia="zh-CN"/>
              </w:rPr>
              <w:t>2025年6月至203</w:t>
            </w:r>
            <w:r>
              <w:rPr>
                <w:rFonts w:hint="eastAsia" w:cs="宋体"/>
                <w:color w:val="auto"/>
                <w:sz w:val="24"/>
                <w:lang w:val="en-US" w:eastAsia="zh-CN"/>
              </w:rPr>
              <w:t>2</w:t>
            </w:r>
            <w:r>
              <w:rPr>
                <w:rFonts w:hint="eastAsia" w:cs="宋体"/>
                <w:color w:val="auto"/>
                <w:sz w:val="24"/>
                <w:lang w:eastAsia="zh-CN"/>
              </w:rPr>
              <w:t>年4月</w:t>
            </w:r>
            <w:r>
              <w:rPr>
                <w:rFonts w:hint="eastAsia" w:cs="宋体"/>
                <w:color w:val="auto"/>
                <w:sz w:val="24"/>
              </w:rPr>
              <w:t>。</w:t>
            </w:r>
          </w:p>
          <w:p w14:paraId="63B47DB2">
            <w:pPr>
              <w:spacing w:line="360" w:lineRule="auto"/>
              <w:ind w:firstLine="480" w:firstLineChars="200"/>
              <w:rPr>
                <w:color w:val="auto"/>
                <w:sz w:val="24"/>
              </w:rPr>
            </w:pPr>
            <w:r>
              <w:rPr>
                <w:rFonts w:hint="eastAsia" w:cs="宋体"/>
                <w:color w:val="auto"/>
                <w:sz w:val="24"/>
              </w:rPr>
              <w:t>三、原则同意报告书中关于</w:t>
            </w:r>
            <w:r>
              <w:rPr>
                <w:rFonts w:hint="eastAsia" w:cs="宋体"/>
                <w:color w:val="auto"/>
                <w:sz w:val="24"/>
                <w:lang w:eastAsia="zh-CN"/>
              </w:rPr>
              <w:t>云龙至永平高速公路工程建设项目永平县境内（九期）临时用地</w:t>
            </w:r>
            <w:r>
              <w:rPr>
                <w:rFonts w:cs="宋体"/>
                <w:color w:val="auto"/>
                <w:sz w:val="24"/>
              </w:rPr>
              <w:t>项目</w:t>
            </w:r>
            <w:r>
              <w:rPr>
                <w:rFonts w:hint="eastAsia" w:cs="宋体"/>
                <w:color w:val="auto"/>
                <w:sz w:val="24"/>
              </w:rPr>
              <w:t>损毁土地的预测和分析。本项目属建设类项目，损毁土地方式主要有</w:t>
            </w:r>
            <w:r>
              <w:rPr>
                <w:rFonts w:hint="eastAsia" w:cs="宋体"/>
                <w:color w:val="auto"/>
                <w:sz w:val="24"/>
                <w:lang w:eastAsia="zh-CN"/>
              </w:rPr>
              <w:t>挖损</w:t>
            </w:r>
            <w:r>
              <w:rPr>
                <w:rFonts w:hint="eastAsia" w:cs="宋体"/>
                <w:color w:val="auto"/>
                <w:sz w:val="24"/>
              </w:rPr>
              <w:t>，复垦责任范围内损毁土地面积0.8897公顷，损毁</w:t>
            </w:r>
            <w:r>
              <w:rPr>
                <w:rFonts w:hint="eastAsia" w:cs="宋体"/>
                <w:color w:val="auto"/>
                <w:sz w:val="24"/>
                <w:lang w:eastAsia="zh-CN"/>
              </w:rPr>
              <w:t>类型为</w:t>
            </w:r>
            <w:r>
              <w:rPr>
                <w:rFonts w:hint="eastAsia" w:cs="宋体"/>
                <w:color w:val="auto"/>
                <w:sz w:val="24"/>
                <w:lang w:val="en-US" w:eastAsia="zh-CN"/>
              </w:rPr>
              <w:t>拟损毁</w:t>
            </w:r>
            <w:r>
              <w:rPr>
                <w:rFonts w:hint="eastAsia" w:cs="宋体"/>
                <w:color w:val="auto"/>
                <w:sz w:val="24"/>
              </w:rPr>
              <w:t>。</w:t>
            </w:r>
          </w:p>
          <w:p w14:paraId="139262C3">
            <w:pPr>
              <w:spacing w:line="360" w:lineRule="auto"/>
              <w:ind w:firstLine="480" w:firstLineChars="200"/>
              <w:rPr>
                <w:rFonts w:cs="宋体"/>
                <w:color w:val="auto"/>
                <w:sz w:val="24"/>
              </w:rPr>
            </w:pPr>
            <w:r>
              <w:rPr>
                <w:rFonts w:hint="eastAsia" w:cs="宋体"/>
                <w:color w:val="auto"/>
                <w:sz w:val="24"/>
              </w:rPr>
              <w:t>四、基本同意本项目制定的复垦目标和任务，土地复垦适宜性评价过程和结果基本可信。</w:t>
            </w:r>
            <w:r>
              <w:rPr>
                <w:rFonts w:cs="宋体"/>
                <w:color w:val="auto"/>
                <w:sz w:val="24"/>
              </w:rPr>
              <w:t>拟复垦土地</w:t>
            </w:r>
            <w:r>
              <w:rPr>
                <w:rFonts w:hint="eastAsia" w:cs="宋体"/>
                <w:color w:val="auto"/>
                <w:sz w:val="24"/>
              </w:rPr>
              <w:t>0.88</w:t>
            </w:r>
            <w:r>
              <w:rPr>
                <w:rFonts w:hint="eastAsia" w:cs="宋体"/>
                <w:color w:val="auto"/>
                <w:sz w:val="24"/>
                <w:lang w:val="en-US" w:eastAsia="zh-CN"/>
              </w:rPr>
              <w:t>79</w:t>
            </w:r>
            <w:r>
              <w:rPr>
                <w:rFonts w:hint="eastAsia" w:cs="宋体"/>
                <w:color w:val="auto"/>
                <w:sz w:val="24"/>
              </w:rPr>
              <w:t>公顷，拟复垦为水田0.0238公顷、旱地0.0785公顷、乔木林地0.7355公顷、其他草地0.0281公顷、田坎0.0220公顷、保留农村道路0.0018公顷，计算复垦率为99.80%</w:t>
            </w:r>
            <w:r>
              <w:rPr>
                <w:rFonts w:cs="宋体"/>
                <w:color w:val="auto"/>
                <w:sz w:val="24"/>
              </w:rPr>
              <w:t>。</w:t>
            </w:r>
          </w:p>
          <w:p w14:paraId="61D852BE">
            <w:pPr>
              <w:spacing w:line="360" w:lineRule="auto"/>
              <w:rPr>
                <w:color w:val="auto"/>
                <w:sz w:val="24"/>
              </w:rPr>
            </w:pPr>
            <w:r>
              <w:rPr>
                <w:color w:val="auto"/>
                <w:sz w:val="24"/>
              </w:rPr>
              <w:t xml:space="preserve">    </w:t>
            </w:r>
            <w:r>
              <w:rPr>
                <w:rFonts w:hint="eastAsia" w:cs="宋体"/>
                <w:color w:val="auto"/>
                <w:sz w:val="24"/>
              </w:rPr>
              <w:t>五、基本同意本报告书提出的预防控制措施和复垦措施。</w:t>
            </w:r>
          </w:p>
          <w:p w14:paraId="6C2A6E57">
            <w:pPr>
              <w:spacing w:line="460" w:lineRule="exact"/>
              <w:ind w:firstLine="480" w:firstLineChars="200"/>
              <w:rPr>
                <w:rFonts w:ascii="宋体"/>
                <w:color w:val="auto"/>
                <w:sz w:val="24"/>
              </w:rPr>
            </w:pPr>
            <w:r>
              <w:rPr>
                <w:rFonts w:hint="eastAsia" w:ascii="宋体" w:hAnsi="宋体" w:cs="宋体"/>
                <w:color w:val="auto"/>
                <w:sz w:val="24"/>
              </w:rPr>
              <w:t>（一）预防控制措施：（</w:t>
            </w:r>
            <w:r>
              <w:rPr>
                <w:rFonts w:ascii="宋体" w:hAnsi="宋体" w:cs="宋体"/>
                <w:color w:val="auto"/>
                <w:sz w:val="24"/>
              </w:rPr>
              <w:t>1</w:t>
            </w:r>
            <w:r>
              <w:rPr>
                <w:rFonts w:hint="eastAsia" w:ascii="宋体" w:hAnsi="宋体" w:cs="宋体"/>
                <w:color w:val="auto"/>
                <w:sz w:val="24"/>
              </w:rPr>
              <w:t>）各种生产建设活动应严格控制在复垦区内，做好土壤和植被的保护措施，施工过程中的固体废弃物要及时处理；（</w:t>
            </w:r>
            <w:r>
              <w:rPr>
                <w:rFonts w:ascii="宋体" w:hAnsi="宋体" w:cs="宋体"/>
                <w:color w:val="auto"/>
                <w:sz w:val="24"/>
              </w:rPr>
              <w:t>2</w:t>
            </w:r>
            <w:r>
              <w:rPr>
                <w:rFonts w:hint="eastAsia" w:ascii="宋体" w:hAnsi="宋体" w:cs="宋体"/>
                <w:color w:val="auto"/>
                <w:sz w:val="24"/>
              </w:rPr>
              <w:t>）合理地布置工作面及开挖顺序，规范化施工，减少不必要的人为损毁，在满足工程施工的基础上，尽量采取对土地损毁程度小的施工方法；（</w:t>
            </w:r>
            <w:r>
              <w:rPr>
                <w:rFonts w:ascii="宋体" w:hAnsi="宋体" w:cs="宋体"/>
                <w:color w:val="auto"/>
                <w:sz w:val="24"/>
              </w:rPr>
              <w:t>3</w:t>
            </w:r>
            <w:r>
              <w:rPr>
                <w:rFonts w:hint="eastAsia" w:ascii="宋体" w:hAnsi="宋体" w:cs="宋体"/>
                <w:color w:val="auto"/>
                <w:sz w:val="24"/>
              </w:rPr>
              <w:t>）工程建设过程可能诱发地质灾害，引起滑坡、崩塌、泥石流水土流失，影响植物生长，破坏地面建筑物，对临时用用地及其周边生态环境产生影响，需做好监控工作，及时发现和预报滑坡，减少滑坡可能造成的灾害。</w:t>
            </w:r>
          </w:p>
          <w:p w14:paraId="7936A2A0">
            <w:pPr>
              <w:spacing w:line="360" w:lineRule="auto"/>
              <w:ind w:firstLine="480" w:firstLineChars="200"/>
              <w:rPr>
                <w:rFonts w:ascii="宋体"/>
                <w:color w:val="auto"/>
                <w:sz w:val="24"/>
              </w:rPr>
            </w:pPr>
            <w:r>
              <w:rPr>
                <w:rFonts w:hint="eastAsia" w:ascii="宋体" w:hAnsi="宋体" w:cs="宋体"/>
                <w:color w:val="auto"/>
                <w:sz w:val="24"/>
              </w:rPr>
              <w:t>（二）工程技术措施：（</w:t>
            </w:r>
            <w:r>
              <w:rPr>
                <w:rFonts w:ascii="宋体" w:hAnsi="宋体" w:cs="宋体"/>
                <w:color w:val="auto"/>
                <w:sz w:val="24"/>
              </w:rPr>
              <w:t>1</w:t>
            </w:r>
            <w:r>
              <w:rPr>
                <w:rFonts w:hint="eastAsia" w:ascii="宋体" w:hAnsi="宋体" w:cs="宋体"/>
                <w:color w:val="auto"/>
                <w:sz w:val="24"/>
              </w:rPr>
              <w:t>）本项目建设结束后，对场地进行清理，进行表层清理及平整，平整后进行表土回覆，覆土后全场进行土壤改良，植被恢复，播撒草籽等工作；（</w:t>
            </w:r>
            <w:r>
              <w:rPr>
                <w:rFonts w:ascii="宋体" w:hAnsi="宋体" w:cs="宋体"/>
                <w:color w:val="auto"/>
                <w:sz w:val="24"/>
              </w:rPr>
              <w:t>2</w:t>
            </w:r>
            <w:r>
              <w:rPr>
                <w:rFonts w:hint="eastAsia" w:ascii="宋体" w:hAnsi="宋体" w:cs="宋体"/>
                <w:color w:val="auto"/>
                <w:sz w:val="24"/>
              </w:rPr>
              <w:t>）复垦监测措施：对整个项目复垦责任范围进行动态监测，同时对复垦过程的复垦措施、复垦效果等监测。</w:t>
            </w:r>
          </w:p>
          <w:p w14:paraId="1922A7EF">
            <w:pPr>
              <w:spacing w:line="360" w:lineRule="auto"/>
              <w:ind w:firstLine="480" w:firstLineChars="200"/>
              <w:rPr>
                <w:rFonts w:ascii="宋体"/>
                <w:color w:val="auto"/>
                <w:sz w:val="24"/>
              </w:rPr>
            </w:pPr>
            <w:r>
              <w:rPr>
                <w:rFonts w:hint="eastAsia" w:ascii="宋体" w:hAnsi="宋体" w:cs="宋体"/>
                <w:color w:val="auto"/>
                <w:sz w:val="24"/>
              </w:rPr>
              <w:t>（三）生物化学措施：（</w:t>
            </w:r>
            <w:r>
              <w:rPr>
                <w:rFonts w:ascii="宋体" w:hAnsi="宋体" w:cs="宋体"/>
                <w:color w:val="auto"/>
                <w:sz w:val="24"/>
              </w:rPr>
              <w:t>1</w:t>
            </w:r>
            <w:r>
              <w:rPr>
                <w:rFonts w:hint="eastAsia" w:ascii="宋体" w:hAnsi="宋体" w:cs="宋体"/>
                <w:color w:val="auto"/>
                <w:sz w:val="24"/>
              </w:rPr>
              <w:t>）对复垦林地区域选择适宜当地的树种，复垦后进行适时管理，包括浇水、施肥、除草、除虫等，同时淘汰劣质树种。（</w:t>
            </w:r>
            <w:r>
              <w:rPr>
                <w:rFonts w:ascii="宋体" w:hAnsi="宋体" w:cs="宋体"/>
                <w:color w:val="auto"/>
                <w:sz w:val="24"/>
              </w:rPr>
              <w:t>2</w:t>
            </w:r>
            <w:r>
              <w:rPr>
                <w:rFonts w:hint="eastAsia" w:ascii="宋体" w:hAnsi="宋体" w:cs="宋体"/>
                <w:color w:val="auto"/>
                <w:sz w:val="24"/>
              </w:rPr>
              <w:t>）对复垦为耕地、园地区域进行土壤改良，采用客土法、绿肥法等方法，对复垦后的土层进行改良，提高土体有机质含量。</w:t>
            </w:r>
          </w:p>
          <w:p w14:paraId="4A7C7E24">
            <w:pPr>
              <w:spacing w:line="360" w:lineRule="auto"/>
              <w:rPr>
                <w:color w:val="auto"/>
                <w:sz w:val="24"/>
              </w:rPr>
            </w:pPr>
            <w:r>
              <w:rPr>
                <w:color w:val="auto"/>
                <w:sz w:val="24"/>
              </w:rPr>
              <w:t xml:space="preserve">    </w:t>
            </w:r>
            <w:r>
              <w:rPr>
                <w:rFonts w:hint="eastAsia" w:cs="宋体"/>
                <w:color w:val="auto"/>
                <w:sz w:val="24"/>
              </w:rPr>
              <w:t>六、基本同意报告书提出的土地复垦标准、工程设计及工程量测算。在具体实施过程中，要进一步加强并细化复垦工程设计，明确施工过程中的具体参数，增加方案的可操作性。</w:t>
            </w:r>
          </w:p>
          <w:p w14:paraId="5F9791B4">
            <w:pPr>
              <w:spacing w:line="360" w:lineRule="auto"/>
              <w:ind w:firstLine="480" w:firstLineChars="200"/>
              <w:rPr>
                <w:rFonts w:cs="宋体"/>
                <w:color w:val="auto"/>
                <w:sz w:val="24"/>
              </w:rPr>
            </w:pPr>
            <w:r>
              <w:rPr>
                <w:color w:val="auto"/>
                <w:sz w:val="24"/>
              </w:rPr>
              <w:t>七、</w:t>
            </w:r>
            <w:r>
              <w:rPr>
                <w:rFonts w:hint="eastAsia"/>
                <w:color w:val="auto"/>
                <w:sz w:val="24"/>
              </w:rPr>
              <w:t>基本同意土地复垦投资估算结果。确定复垦工程静态投资总计</w:t>
            </w:r>
            <w:r>
              <w:rPr>
                <w:rFonts w:hint="eastAsia"/>
                <w:color w:val="auto"/>
                <w:sz w:val="24"/>
                <w:lang w:val="en-US" w:eastAsia="zh-CN"/>
              </w:rPr>
              <w:t>148.9778万元，动态总投资总计45.3136万元，动态总投资总计59.0046万元，静态亩均投资为33954.18元/亩，动态亩均投资44213.07元/亩</w:t>
            </w:r>
            <w:r>
              <w:rPr>
                <w:rFonts w:hint="eastAsia"/>
                <w:color w:val="auto"/>
                <w:sz w:val="24"/>
              </w:rPr>
              <w:t>。复垦义务人为</w:t>
            </w:r>
            <w:r>
              <w:rPr>
                <w:rFonts w:hint="eastAsia"/>
                <w:color w:val="auto"/>
                <w:sz w:val="24"/>
                <w:lang w:eastAsia="zh-CN"/>
              </w:rPr>
              <w:t>云南建投迪庆建设有限公司为</w:t>
            </w:r>
            <w:r>
              <w:rPr>
                <w:rFonts w:hint="eastAsia"/>
                <w:color w:val="auto"/>
                <w:sz w:val="24"/>
              </w:rPr>
              <w:t>复垦工作由复垦义务人组织施工队伍自行复垦。业主单位要进一步明确土地复垦费用从建设生产成本中提取，加大土地复垦前期提取额度，并根据复垦工作安排制定土地复垦计划，采取有效措施保障复垦费专款专用。费用不足的，要及时足额追加投资，确保土地复垦工作的顺利进行。</w:t>
            </w:r>
          </w:p>
          <w:p w14:paraId="3CAAF84C">
            <w:pPr>
              <w:spacing w:line="360" w:lineRule="auto"/>
              <w:ind w:firstLine="480" w:firstLineChars="200"/>
              <w:rPr>
                <w:rFonts w:cs="宋体"/>
                <w:color w:val="auto"/>
                <w:sz w:val="24"/>
              </w:rPr>
            </w:pPr>
            <w:r>
              <w:rPr>
                <w:rFonts w:hint="eastAsia" w:ascii="宋体" w:hAnsi="宋体" w:cs="宋体"/>
                <w:color w:val="auto"/>
                <w:sz w:val="24"/>
              </w:rPr>
              <w:t>综上所述，该土地复垦方案编制的内容和成果总体符合土地复垦相关法律法规和技术规程规范的要求，相关分析评价依据较为充分，结论基本可信，对复垦责任范围内损毁土地确定的复垦目标任务和拟采取的复垦措施基本合理，复垦投资估（测）算结果基本准确，制定的复垦工作计划、费用安排及相关保障措施具有可操作性，可作为指导土地复垦义务人（生产建设单位）开展土地复垦工作的依据。专家组原则同通过评审，需尽快按与会专家提出的修改意见进行补充完善后，在规定时限内按程序报自然资源主管部门审核备案。若项目性质、规模、地点、范围或采用的生产工艺等发生重大变化，应在规定时限内对本复垦方案进行修订或重新编制土地复垦方案，并报原审查的自然资源主管部门审查批准备案</w:t>
            </w:r>
            <w:r>
              <w:rPr>
                <w:rFonts w:hint="eastAsia" w:cs="宋体"/>
                <w:color w:val="auto"/>
                <w:sz w:val="24"/>
              </w:rPr>
              <w:t>。</w:t>
            </w:r>
          </w:p>
          <w:p w14:paraId="4FE9073C">
            <w:pPr>
              <w:spacing w:line="360" w:lineRule="auto"/>
              <w:ind w:firstLine="480" w:firstLineChars="200"/>
              <w:rPr>
                <w:rFonts w:cs="宋体"/>
                <w:color w:val="auto"/>
                <w:sz w:val="24"/>
              </w:rPr>
            </w:pPr>
          </w:p>
          <w:p w14:paraId="790664D3">
            <w:pPr>
              <w:spacing w:line="360" w:lineRule="auto"/>
              <w:ind w:firstLine="480" w:firstLineChars="200"/>
              <w:rPr>
                <w:rFonts w:cs="宋体"/>
                <w:color w:val="auto"/>
                <w:sz w:val="24"/>
              </w:rPr>
            </w:pPr>
          </w:p>
          <w:p w14:paraId="6DBCF2ED">
            <w:pPr>
              <w:spacing w:line="360" w:lineRule="auto"/>
              <w:ind w:firstLine="480" w:firstLineChars="200"/>
              <w:rPr>
                <w:rFonts w:cs="宋体"/>
                <w:color w:val="auto"/>
                <w:sz w:val="24"/>
              </w:rPr>
            </w:pPr>
          </w:p>
          <w:p w14:paraId="76C6B4E5">
            <w:pPr>
              <w:spacing w:line="360" w:lineRule="auto"/>
              <w:ind w:firstLine="480" w:firstLineChars="200"/>
              <w:rPr>
                <w:rFonts w:cs="宋体"/>
                <w:color w:val="auto"/>
                <w:sz w:val="24"/>
              </w:rPr>
            </w:pPr>
          </w:p>
          <w:p w14:paraId="0CEA3EFF">
            <w:pPr>
              <w:spacing w:line="360" w:lineRule="auto"/>
              <w:ind w:firstLine="480" w:firstLineChars="200"/>
              <w:rPr>
                <w:rFonts w:cs="宋体"/>
                <w:color w:val="auto"/>
                <w:sz w:val="24"/>
              </w:rPr>
            </w:pPr>
          </w:p>
          <w:p w14:paraId="0541A9D9">
            <w:pPr>
              <w:spacing w:line="360" w:lineRule="auto"/>
              <w:ind w:firstLine="480" w:firstLineChars="200"/>
              <w:rPr>
                <w:rFonts w:cs="宋体"/>
                <w:color w:val="auto"/>
                <w:sz w:val="24"/>
              </w:rPr>
            </w:pPr>
          </w:p>
          <w:p w14:paraId="2D3513DE">
            <w:pPr>
              <w:spacing w:line="360" w:lineRule="auto"/>
              <w:ind w:firstLine="480" w:firstLineChars="200"/>
              <w:rPr>
                <w:rFonts w:cs="宋体"/>
                <w:color w:val="auto"/>
                <w:sz w:val="24"/>
              </w:rPr>
            </w:pPr>
          </w:p>
          <w:p w14:paraId="558EFDF8">
            <w:pPr>
              <w:spacing w:line="360" w:lineRule="auto"/>
              <w:ind w:firstLine="480" w:firstLineChars="200"/>
              <w:rPr>
                <w:rFonts w:cs="宋体"/>
                <w:color w:val="auto"/>
                <w:sz w:val="24"/>
              </w:rPr>
            </w:pPr>
          </w:p>
          <w:p w14:paraId="5CA3F6E9">
            <w:pPr>
              <w:spacing w:line="360" w:lineRule="auto"/>
              <w:ind w:firstLine="480" w:firstLineChars="200"/>
              <w:rPr>
                <w:rFonts w:cs="宋体"/>
                <w:color w:val="auto"/>
                <w:sz w:val="24"/>
              </w:rPr>
            </w:pPr>
          </w:p>
          <w:p w14:paraId="7FD6F541">
            <w:pPr>
              <w:spacing w:line="360" w:lineRule="auto"/>
              <w:ind w:firstLine="480" w:firstLineChars="200"/>
              <w:rPr>
                <w:rFonts w:cs="宋体"/>
                <w:color w:val="auto"/>
                <w:sz w:val="24"/>
              </w:rPr>
            </w:pPr>
          </w:p>
          <w:p w14:paraId="307F0E01">
            <w:pPr>
              <w:spacing w:line="330" w:lineRule="exact"/>
              <w:rPr>
                <w:rFonts w:cs="宋体"/>
                <w:color w:val="auto"/>
                <w:sz w:val="24"/>
              </w:rPr>
            </w:pPr>
          </w:p>
          <w:p w14:paraId="66A14487">
            <w:pPr>
              <w:spacing w:line="330" w:lineRule="exact"/>
              <w:rPr>
                <w:rFonts w:cs="宋体"/>
                <w:color w:val="auto"/>
                <w:sz w:val="24"/>
              </w:rPr>
            </w:pPr>
          </w:p>
          <w:p w14:paraId="2130C63F">
            <w:pPr>
              <w:spacing w:line="330" w:lineRule="exact"/>
              <w:ind w:firstLine="480" w:firstLineChars="200"/>
              <w:rPr>
                <w:rFonts w:cs="宋体"/>
                <w:color w:val="auto"/>
                <w:sz w:val="24"/>
              </w:rPr>
            </w:pPr>
            <w:r>
              <w:rPr>
                <w:rFonts w:hint="eastAsia" w:cs="宋体"/>
                <w:color w:val="auto"/>
                <w:sz w:val="24"/>
              </w:rPr>
              <w:t>专家组组长签名：</w:t>
            </w:r>
          </w:p>
          <w:p w14:paraId="4D62D527">
            <w:pPr>
              <w:rPr>
                <w:rFonts w:cs="宋体"/>
                <w:color w:val="auto"/>
                <w:sz w:val="24"/>
              </w:rPr>
            </w:pPr>
          </w:p>
          <w:p w14:paraId="4CC3C96D">
            <w:pPr>
              <w:rPr>
                <w:rFonts w:cs="宋体"/>
                <w:color w:val="auto"/>
                <w:sz w:val="24"/>
              </w:rPr>
            </w:pPr>
          </w:p>
          <w:p w14:paraId="6ABCF265">
            <w:pPr>
              <w:spacing w:line="480" w:lineRule="auto"/>
              <w:ind w:firstLine="5760" w:firstLineChars="2400"/>
              <w:rPr>
                <w:rFonts w:cs="宋体"/>
                <w:color w:val="auto"/>
                <w:sz w:val="24"/>
              </w:rPr>
            </w:pPr>
            <w:r>
              <w:rPr>
                <w:rFonts w:hint="eastAsia" w:cs="宋体"/>
                <w:color w:val="auto"/>
                <w:sz w:val="24"/>
              </w:rPr>
              <w:t>年   月   日</w:t>
            </w:r>
          </w:p>
          <w:p w14:paraId="193A66AD">
            <w:pPr>
              <w:rPr>
                <w:rFonts w:cs="宋体"/>
                <w:color w:val="auto"/>
                <w:sz w:val="24"/>
              </w:rPr>
            </w:pPr>
          </w:p>
        </w:tc>
      </w:tr>
    </w:tbl>
    <w:p w14:paraId="31288E5E">
      <w:pPr>
        <w:spacing w:line="180" w:lineRule="atLeast"/>
        <w:jc w:val="center"/>
        <w:rPr>
          <w:rFonts w:hint="eastAsia"/>
          <w:b/>
          <w:color w:val="auto"/>
          <w:sz w:val="28"/>
          <w:szCs w:val="28"/>
        </w:rPr>
      </w:pPr>
      <w:bookmarkStart w:id="0" w:name="_GoBack"/>
      <w:bookmarkEnd w:id="0"/>
    </w:p>
    <w:p w14:paraId="1E1E7754">
      <w:pPr>
        <w:spacing w:line="180" w:lineRule="atLeast"/>
        <w:jc w:val="center"/>
        <w:rPr>
          <w:rFonts w:hint="eastAsia"/>
          <w:b/>
          <w:color w:val="auto"/>
          <w:sz w:val="28"/>
          <w:szCs w:val="28"/>
        </w:rPr>
      </w:pPr>
    </w:p>
    <w:p w14:paraId="1AB67261">
      <w:pPr>
        <w:spacing w:line="180" w:lineRule="atLeast"/>
        <w:jc w:val="center"/>
        <w:rPr>
          <w:b/>
          <w:color w:val="auto"/>
          <w:sz w:val="28"/>
          <w:szCs w:val="28"/>
        </w:rPr>
      </w:pPr>
      <w:r>
        <w:rPr>
          <w:rFonts w:hint="eastAsia"/>
          <w:b/>
          <w:color w:val="auto"/>
          <w:sz w:val="28"/>
          <w:szCs w:val="28"/>
        </w:rPr>
        <w:t xml:space="preserve"> </w:t>
      </w:r>
      <w:r>
        <w:rPr>
          <w:rFonts w:hint="eastAsia"/>
          <w:b/>
          <w:color w:val="auto"/>
          <w:sz w:val="28"/>
          <w:szCs w:val="28"/>
          <w:lang w:eastAsia="zh-CN"/>
        </w:rPr>
        <w:t>云龙至永平高速公路工程建设项目永平县境内（九期）临时用地</w:t>
      </w:r>
      <w:r>
        <w:rPr>
          <w:rFonts w:hint="eastAsia"/>
          <w:b/>
          <w:color w:val="auto"/>
          <w:sz w:val="28"/>
          <w:szCs w:val="28"/>
        </w:rPr>
        <w:t>土地复垦方案专家组名单表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128"/>
        <w:gridCol w:w="3664"/>
        <w:gridCol w:w="2752"/>
      </w:tblGrid>
      <w:tr w14:paraId="1F92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4" w:type="pct"/>
            <w:vAlign w:val="center"/>
          </w:tcPr>
          <w:p w14:paraId="15066087">
            <w:pPr>
              <w:jc w:val="center"/>
              <w:rPr>
                <w:b/>
                <w:bCs/>
                <w:color w:val="auto"/>
                <w:sz w:val="28"/>
              </w:rPr>
            </w:pPr>
            <w:r>
              <w:rPr>
                <w:rFonts w:hint="eastAsia"/>
                <w:b/>
                <w:bCs/>
                <w:color w:val="auto"/>
                <w:sz w:val="28"/>
              </w:rPr>
              <w:t>序号</w:t>
            </w:r>
          </w:p>
        </w:tc>
        <w:tc>
          <w:tcPr>
            <w:tcW w:w="662" w:type="pct"/>
            <w:vAlign w:val="center"/>
          </w:tcPr>
          <w:p w14:paraId="6012F4D1">
            <w:pPr>
              <w:jc w:val="center"/>
              <w:rPr>
                <w:b/>
                <w:bCs/>
                <w:color w:val="auto"/>
                <w:sz w:val="28"/>
              </w:rPr>
            </w:pPr>
            <w:r>
              <w:rPr>
                <w:rFonts w:hint="eastAsia"/>
                <w:b/>
                <w:bCs/>
                <w:color w:val="auto"/>
                <w:sz w:val="28"/>
              </w:rPr>
              <w:t>姓名</w:t>
            </w:r>
          </w:p>
        </w:tc>
        <w:tc>
          <w:tcPr>
            <w:tcW w:w="2150" w:type="pct"/>
            <w:vAlign w:val="center"/>
          </w:tcPr>
          <w:p w14:paraId="08B9F071">
            <w:pPr>
              <w:jc w:val="center"/>
              <w:rPr>
                <w:b/>
                <w:bCs/>
                <w:color w:val="auto"/>
                <w:sz w:val="28"/>
              </w:rPr>
            </w:pPr>
            <w:r>
              <w:rPr>
                <w:rFonts w:hint="eastAsia"/>
                <w:b/>
                <w:bCs/>
                <w:color w:val="auto"/>
                <w:sz w:val="28"/>
              </w:rPr>
              <w:t>工作单位</w:t>
            </w:r>
          </w:p>
        </w:tc>
        <w:tc>
          <w:tcPr>
            <w:tcW w:w="1615" w:type="pct"/>
            <w:vAlign w:val="center"/>
          </w:tcPr>
          <w:p w14:paraId="506810B3">
            <w:pPr>
              <w:jc w:val="center"/>
              <w:rPr>
                <w:b/>
                <w:bCs/>
                <w:color w:val="auto"/>
                <w:sz w:val="28"/>
              </w:rPr>
            </w:pPr>
            <w:r>
              <w:rPr>
                <w:rFonts w:hint="eastAsia"/>
                <w:b/>
                <w:bCs/>
                <w:color w:val="auto"/>
                <w:sz w:val="28"/>
              </w:rPr>
              <w:t>职称</w:t>
            </w:r>
          </w:p>
        </w:tc>
      </w:tr>
      <w:tr w14:paraId="21B4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4" w:type="pct"/>
            <w:vAlign w:val="center"/>
          </w:tcPr>
          <w:p w14:paraId="431C0EA8">
            <w:pPr>
              <w:spacing w:line="400" w:lineRule="exact"/>
              <w:jc w:val="center"/>
              <w:rPr>
                <w:color w:val="auto"/>
                <w:sz w:val="28"/>
              </w:rPr>
            </w:pPr>
            <w:r>
              <w:rPr>
                <w:rFonts w:hint="eastAsia"/>
                <w:color w:val="auto"/>
                <w:sz w:val="28"/>
              </w:rPr>
              <w:t>1</w:t>
            </w:r>
          </w:p>
        </w:tc>
        <w:tc>
          <w:tcPr>
            <w:tcW w:w="1128" w:type="dxa"/>
            <w:vAlign w:val="center"/>
          </w:tcPr>
          <w:p w14:paraId="7A70F303">
            <w:pPr>
              <w:jc w:val="center"/>
              <w:rPr>
                <w:rFonts w:hint="eastAsia" w:ascii="宋体" w:hAnsi="宋体"/>
                <w:color w:val="auto"/>
                <w:sz w:val="24"/>
              </w:rPr>
            </w:pPr>
            <w:r>
              <w:rPr>
                <w:rFonts w:hint="eastAsia" w:ascii="宋体" w:hAnsi="宋体"/>
                <w:color w:val="auto"/>
                <w:sz w:val="24"/>
              </w:rPr>
              <w:t>朱荣华</w:t>
            </w:r>
          </w:p>
        </w:tc>
        <w:tc>
          <w:tcPr>
            <w:tcW w:w="3664" w:type="dxa"/>
            <w:vAlign w:val="center"/>
          </w:tcPr>
          <w:p w14:paraId="14B08B80">
            <w:pPr>
              <w:jc w:val="center"/>
              <w:rPr>
                <w:rFonts w:hint="eastAsia" w:ascii="宋体" w:hAnsi="宋体"/>
                <w:color w:val="auto"/>
                <w:sz w:val="24"/>
              </w:rPr>
            </w:pPr>
            <w:r>
              <w:rPr>
                <w:rFonts w:hint="eastAsia" w:ascii="宋体" w:hAnsi="宋体"/>
                <w:color w:val="auto"/>
                <w:sz w:val="24"/>
              </w:rPr>
              <w:t>云南南方地勘工程有限公司</w:t>
            </w:r>
          </w:p>
        </w:tc>
        <w:tc>
          <w:tcPr>
            <w:tcW w:w="2752" w:type="dxa"/>
            <w:vAlign w:val="center"/>
          </w:tcPr>
          <w:p w14:paraId="7B56C10B">
            <w:pPr>
              <w:jc w:val="center"/>
              <w:rPr>
                <w:rFonts w:hint="eastAsia" w:ascii="宋体" w:hAnsi="宋体"/>
                <w:color w:val="auto"/>
                <w:sz w:val="24"/>
              </w:rPr>
            </w:pPr>
            <w:r>
              <w:rPr>
                <w:rFonts w:hint="eastAsia" w:ascii="宋体" w:hAnsi="宋体"/>
                <w:color w:val="auto"/>
                <w:sz w:val="24"/>
              </w:rPr>
              <w:t>正高级工程师</w:t>
            </w:r>
          </w:p>
        </w:tc>
      </w:tr>
      <w:tr w14:paraId="6A5F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4" w:type="pct"/>
            <w:vAlign w:val="center"/>
          </w:tcPr>
          <w:p w14:paraId="5BA1A8DD">
            <w:pPr>
              <w:spacing w:line="400" w:lineRule="exact"/>
              <w:jc w:val="center"/>
              <w:rPr>
                <w:color w:val="auto"/>
                <w:sz w:val="28"/>
              </w:rPr>
            </w:pPr>
            <w:r>
              <w:rPr>
                <w:rFonts w:hint="eastAsia"/>
                <w:color w:val="auto"/>
                <w:sz w:val="28"/>
              </w:rPr>
              <w:t>2</w:t>
            </w:r>
          </w:p>
        </w:tc>
        <w:tc>
          <w:tcPr>
            <w:tcW w:w="662" w:type="pct"/>
            <w:vAlign w:val="center"/>
          </w:tcPr>
          <w:p w14:paraId="639D54B4">
            <w:pPr>
              <w:jc w:val="center"/>
              <w:rPr>
                <w:rFonts w:hint="eastAsia" w:ascii="宋体" w:hAnsi="宋体" w:eastAsia="宋体"/>
                <w:color w:val="auto"/>
                <w:sz w:val="24"/>
                <w:lang w:eastAsia="zh-CN"/>
              </w:rPr>
            </w:pPr>
            <w:r>
              <w:rPr>
                <w:rFonts w:hint="eastAsia" w:ascii="宋体" w:hAnsi="宋体"/>
                <w:color w:val="auto"/>
                <w:sz w:val="24"/>
                <w:lang w:eastAsia="zh-CN"/>
              </w:rPr>
              <w:t>刘香丽</w:t>
            </w:r>
          </w:p>
        </w:tc>
        <w:tc>
          <w:tcPr>
            <w:tcW w:w="2150" w:type="pct"/>
            <w:vAlign w:val="center"/>
          </w:tcPr>
          <w:p w14:paraId="536AF8B5">
            <w:pPr>
              <w:jc w:val="center"/>
              <w:rPr>
                <w:rFonts w:hint="eastAsia" w:ascii="宋体" w:hAnsi="宋体" w:eastAsia="宋体"/>
                <w:color w:val="auto"/>
                <w:sz w:val="24"/>
                <w:lang w:eastAsia="zh-CN"/>
              </w:rPr>
            </w:pPr>
            <w:r>
              <w:rPr>
                <w:rFonts w:hint="eastAsia" w:ascii="宋体" w:hAnsi="宋体"/>
                <w:color w:val="auto"/>
                <w:sz w:val="24"/>
                <w:lang w:eastAsia="zh-CN"/>
              </w:rPr>
              <w:t>大理州林草检疫中心</w:t>
            </w:r>
          </w:p>
        </w:tc>
        <w:tc>
          <w:tcPr>
            <w:tcW w:w="1615" w:type="pct"/>
            <w:vAlign w:val="center"/>
          </w:tcPr>
          <w:p w14:paraId="0D79A3F3">
            <w:pPr>
              <w:jc w:val="center"/>
              <w:rPr>
                <w:rFonts w:hint="eastAsia" w:ascii="宋体" w:hAnsi="宋体"/>
                <w:color w:val="auto"/>
                <w:sz w:val="24"/>
              </w:rPr>
            </w:pPr>
            <w:r>
              <w:rPr>
                <w:rFonts w:hint="eastAsia" w:ascii="宋体" w:hAnsi="宋体"/>
                <w:color w:val="auto"/>
                <w:sz w:val="24"/>
              </w:rPr>
              <w:t>高级工程师</w:t>
            </w:r>
          </w:p>
        </w:tc>
      </w:tr>
      <w:tr w14:paraId="4AFE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4" w:type="pct"/>
            <w:vAlign w:val="center"/>
          </w:tcPr>
          <w:p w14:paraId="0671B057">
            <w:pPr>
              <w:spacing w:line="400" w:lineRule="exact"/>
              <w:jc w:val="center"/>
              <w:rPr>
                <w:color w:val="auto"/>
                <w:sz w:val="28"/>
              </w:rPr>
            </w:pPr>
            <w:r>
              <w:rPr>
                <w:rFonts w:hint="eastAsia"/>
                <w:color w:val="auto"/>
                <w:sz w:val="28"/>
              </w:rPr>
              <w:t>3</w:t>
            </w:r>
          </w:p>
        </w:tc>
        <w:tc>
          <w:tcPr>
            <w:tcW w:w="662" w:type="pct"/>
            <w:vAlign w:val="center"/>
          </w:tcPr>
          <w:p w14:paraId="2C04D3FA">
            <w:pPr>
              <w:jc w:val="center"/>
              <w:rPr>
                <w:rFonts w:hint="eastAsia" w:ascii="宋体" w:hAnsi="宋体" w:eastAsia="宋体"/>
                <w:color w:val="auto"/>
                <w:sz w:val="24"/>
                <w:lang w:eastAsia="zh-CN"/>
              </w:rPr>
            </w:pPr>
            <w:r>
              <w:rPr>
                <w:rFonts w:hint="eastAsia" w:ascii="宋体" w:hAnsi="宋体"/>
                <w:color w:val="auto"/>
                <w:sz w:val="24"/>
                <w:lang w:eastAsia="zh-CN"/>
              </w:rPr>
              <w:t>初志中</w:t>
            </w:r>
          </w:p>
        </w:tc>
        <w:tc>
          <w:tcPr>
            <w:tcW w:w="2150" w:type="pct"/>
            <w:vAlign w:val="center"/>
          </w:tcPr>
          <w:p w14:paraId="40CF2854">
            <w:pPr>
              <w:jc w:val="center"/>
              <w:rPr>
                <w:rFonts w:hint="eastAsia" w:ascii="宋体" w:hAnsi="宋体" w:eastAsia="宋体"/>
                <w:color w:val="auto"/>
                <w:sz w:val="24"/>
                <w:lang w:eastAsia="zh-CN"/>
              </w:rPr>
            </w:pPr>
            <w:r>
              <w:rPr>
                <w:rFonts w:hint="eastAsia" w:ascii="宋体" w:hAnsi="宋体"/>
                <w:color w:val="auto"/>
                <w:sz w:val="24"/>
                <w:lang w:eastAsia="zh-CN"/>
              </w:rPr>
              <w:t>大理州水利水电勘测设计院</w:t>
            </w:r>
          </w:p>
        </w:tc>
        <w:tc>
          <w:tcPr>
            <w:tcW w:w="1615" w:type="pct"/>
            <w:vAlign w:val="center"/>
          </w:tcPr>
          <w:p w14:paraId="2ACE6F34">
            <w:pPr>
              <w:jc w:val="center"/>
              <w:rPr>
                <w:rFonts w:hint="eastAsia" w:ascii="宋体" w:hAnsi="宋体"/>
                <w:color w:val="auto"/>
                <w:sz w:val="24"/>
              </w:rPr>
            </w:pPr>
            <w:r>
              <w:rPr>
                <w:rFonts w:hint="eastAsia" w:ascii="宋体" w:hAnsi="宋体"/>
                <w:color w:val="auto"/>
                <w:sz w:val="24"/>
              </w:rPr>
              <w:t>高级工程师</w:t>
            </w:r>
          </w:p>
        </w:tc>
      </w:tr>
      <w:tr w14:paraId="2B3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74" w:type="pct"/>
            <w:vAlign w:val="center"/>
          </w:tcPr>
          <w:p w14:paraId="5364A1C1">
            <w:pPr>
              <w:spacing w:line="400" w:lineRule="exact"/>
              <w:jc w:val="center"/>
              <w:rPr>
                <w:color w:val="auto"/>
                <w:sz w:val="28"/>
              </w:rPr>
            </w:pPr>
            <w:r>
              <w:rPr>
                <w:rFonts w:hint="eastAsia"/>
                <w:color w:val="auto"/>
                <w:sz w:val="28"/>
              </w:rPr>
              <w:t>4</w:t>
            </w:r>
          </w:p>
        </w:tc>
        <w:tc>
          <w:tcPr>
            <w:tcW w:w="662" w:type="pct"/>
            <w:vAlign w:val="center"/>
          </w:tcPr>
          <w:p w14:paraId="5FD670BA">
            <w:pPr>
              <w:jc w:val="center"/>
              <w:rPr>
                <w:rFonts w:hint="eastAsia" w:ascii="宋体" w:hAnsi="宋体" w:eastAsia="宋体"/>
                <w:color w:val="auto"/>
                <w:sz w:val="24"/>
                <w:lang w:eastAsia="zh-CN"/>
              </w:rPr>
            </w:pPr>
            <w:r>
              <w:rPr>
                <w:rFonts w:hint="eastAsia" w:ascii="宋体" w:hAnsi="宋体"/>
                <w:color w:val="auto"/>
                <w:sz w:val="24"/>
                <w:lang w:eastAsia="zh-CN"/>
              </w:rPr>
              <w:t>甘豫云</w:t>
            </w:r>
          </w:p>
        </w:tc>
        <w:tc>
          <w:tcPr>
            <w:tcW w:w="2150" w:type="pct"/>
            <w:vAlign w:val="center"/>
          </w:tcPr>
          <w:p w14:paraId="4FD451FA">
            <w:pPr>
              <w:jc w:val="center"/>
              <w:rPr>
                <w:rFonts w:hint="eastAsia" w:ascii="宋体" w:hAnsi="宋体" w:eastAsia="宋体"/>
                <w:color w:val="auto"/>
                <w:sz w:val="24"/>
                <w:lang w:eastAsia="zh-CN"/>
              </w:rPr>
            </w:pPr>
            <w:r>
              <w:rPr>
                <w:rFonts w:hint="eastAsia" w:ascii="宋体" w:hAnsi="宋体"/>
                <w:color w:val="auto"/>
                <w:sz w:val="24"/>
              </w:rPr>
              <w:t>大理州</w:t>
            </w:r>
            <w:r>
              <w:rPr>
                <w:rFonts w:hint="eastAsia" w:ascii="宋体" w:hAnsi="宋体"/>
                <w:color w:val="auto"/>
                <w:sz w:val="24"/>
                <w:lang w:eastAsia="zh-CN"/>
              </w:rPr>
              <w:t>农业农村局系统</w:t>
            </w:r>
          </w:p>
        </w:tc>
        <w:tc>
          <w:tcPr>
            <w:tcW w:w="1615" w:type="pct"/>
            <w:vAlign w:val="center"/>
          </w:tcPr>
          <w:p w14:paraId="76686CEC">
            <w:pPr>
              <w:jc w:val="center"/>
              <w:rPr>
                <w:rFonts w:hint="eastAsia" w:ascii="宋体" w:hAnsi="宋体"/>
                <w:color w:val="auto"/>
                <w:sz w:val="24"/>
              </w:rPr>
            </w:pPr>
            <w:r>
              <w:rPr>
                <w:rFonts w:hint="eastAsia" w:ascii="宋体" w:hAnsi="宋体"/>
                <w:color w:val="auto"/>
                <w:sz w:val="24"/>
              </w:rPr>
              <w:t>农艺师</w:t>
            </w:r>
          </w:p>
        </w:tc>
      </w:tr>
      <w:tr w14:paraId="4F39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74" w:type="pct"/>
            <w:vAlign w:val="center"/>
          </w:tcPr>
          <w:p w14:paraId="4DC940E9">
            <w:pPr>
              <w:spacing w:line="400" w:lineRule="exact"/>
              <w:jc w:val="center"/>
              <w:rPr>
                <w:color w:val="auto"/>
                <w:sz w:val="28"/>
              </w:rPr>
            </w:pPr>
            <w:r>
              <w:rPr>
                <w:rFonts w:hint="eastAsia"/>
                <w:color w:val="auto"/>
                <w:sz w:val="28"/>
              </w:rPr>
              <w:t>5</w:t>
            </w:r>
          </w:p>
        </w:tc>
        <w:tc>
          <w:tcPr>
            <w:tcW w:w="662" w:type="pct"/>
            <w:vAlign w:val="center"/>
          </w:tcPr>
          <w:p w14:paraId="6D135EAE">
            <w:pPr>
              <w:jc w:val="center"/>
              <w:rPr>
                <w:rFonts w:hint="eastAsia" w:ascii="宋体" w:hAnsi="宋体" w:eastAsia="宋体"/>
                <w:color w:val="auto"/>
                <w:sz w:val="24"/>
                <w:lang w:eastAsia="zh-CN"/>
              </w:rPr>
            </w:pPr>
            <w:r>
              <w:rPr>
                <w:rFonts w:hint="eastAsia" w:ascii="宋体" w:hAnsi="宋体"/>
                <w:color w:val="auto"/>
                <w:sz w:val="24"/>
                <w:lang w:eastAsia="zh-CN"/>
              </w:rPr>
              <w:t>张茂荣</w:t>
            </w:r>
          </w:p>
        </w:tc>
        <w:tc>
          <w:tcPr>
            <w:tcW w:w="2150" w:type="pct"/>
            <w:vAlign w:val="center"/>
          </w:tcPr>
          <w:p w14:paraId="2E565229">
            <w:pPr>
              <w:jc w:val="center"/>
              <w:rPr>
                <w:rFonts w:hint="eastAsia" w:ascii="宋体" w:hAnsi="宋体" w:eastAsia="宋体"/>
                <w:color w:val="auto"/>
                <w:sz w:val="24"/>
                <w:lang w:eastAsia="zh-CN"/>
              </w:rPr>
            </w:pPr>
            <w:r>
              <w:rPr>
                <w:rFonts w:hint="eastAsia" w:ascii="宋体" w:hAnsi="宋体"/>
                <w:color w:val="auto"/>
                <w:sz w:val="24"/>
                <w:lang w:eastAsia="zh-CN"/>
              </w:rPr>
              <w:t>昆明市同力建设工程咨询有限公司</w:t>
            </w:r>
          </w:p>
        </w:tc>
        <w:tc>
          <w:tcPr>
            <w:tcW w:w="1615" w:type="pct"/>
            <w:vAlign w:val="center"/>
          </w:tcPr>
          <w:p w14:paraId="21FA6AA0">
            <w:pPr>
              <w:jc w:val="center"/>
              <w:rPr>
                <w:rFonts w:ascii="宋体" w:hAnsi="宋体"/>
                <w:color w:val="auto"/>
                <w:sz w:val="24"/>
              </w:rPr>
            </w:pPr>
            <w:r>
              <w:rPr>
                <w:rFonts w:hint="eastAsia" w:ascii="宋体" w:hAnsi="宋体"/>
                <w:color w:val="auto"/>
                <w:sz w:val="24"/>
              </w:rPr>
              <w:t>高级工程师</w:t>
            </w:r>
          </w:p>
        </w:tc>
      </w:tr>
    </w:tbl>
    <w:p w14:paraId="3E3DD834">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E6D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2540" t="0" r="0" b="12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14:paraId="6AFA94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B7XTPQAAAAAwEAAA8AAAAAAAAAAQAgAAAAIgAAAGRycy9k&#10;b3ducmV2LnhtbFBLAQIUABQAAAAIAIdO4kBGdBYoCgIAAAIEAAAOAAAAAAAAAAEAIAAAAB8BAABk&#10;cnMvZTJvRG9jLnhtbFBLBQYAAAAABgAGAFkBAACbBQAAAAA=&#10;">
              <v:fill on="f" focussize="0,0"/>
              <v:stroke on="f"/>
              <v:imagedata o:title=""/>
              <o:lock v:ext="edit" aspectratio="f"/>
              <v:textbox inset="0mm,0mm,0mm,0mm" style="mso-fit-shape-to-text:t;">
                <w:txbxContent>
                  <w:p w14:paraId="6AFA941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jRmNzViOGI2NDY5ZTE2NDFhZWIzNmJmYjc5ZDIifQ=="/>
  </w:docVars>
  <w:rsids>
    <w:rsidRoot w:val="00172A27"/>
    <w:rsid w:val="0012732A"/>
    <w:rsid w:val="00172A27"/>
    <w:rsid w:val="00176845"/>
    <w:rsid w:val="002D0A27"/>
    <w:rsid w:val="00337921"/>
    <w:rsid w:val="00422026"/>
    <w:rsid w:val="004D22EF"/>
    <w:rsid w:val="00526A7B"/>
    <w:rsid w:val="005439A9"/>
    <w:rsid w:val="00634CA2"/>
    <w:rsid w:val="00707F58"/>
    <w:rsid w:val="007305AA"/>
    <w:rsid w:val="00754B25"/>
    <w:rsid w:val="0081688C"/>
    <w:rsid w:val="008F21F5"/>
    <w:rsid w:val="00A40745"/>
    <w:rsid w:val="00A72ACB"/>
    <w:rsid w:val="00B864FF"/>
    <w:rsid w:val="00B96D95"/>
    <w:rsid w:val="00BE57B9"/>
    <w:rsid w:val="00C84E0D"/>
    <w:rsid w:val="00C967E0"/>
    <w:rsid w:val="00CA2594"/>
    <w:rsid w:val="00CD6728"/>
    <w:rsid w:val="00EB3042"/>
    <w:rsid w:val="00EB31FC"/>
    <w:rsid w:val="00F32D14"/>
    <w:rsid w:val="00F7434B"/>
    <w:rsid w:val="00FC702A"/>
    <w:rsid w:val="00FD6AFE"/>
    <w:rsid w:val="070343AF"/>
    <w:rsid w:val="0E703DE2"/>
    <w:rsid w:val="13D529D6"/>
    <w:rsid w:val="150A0B47"/>
    <w:rsid w:val="16841924"/>
    <w:rsid w:val="21D27C0E"/>
    <w:rsid w:val="28BB2C69"/>
    <w:rsid w:val="32B34838"/>
    <w:rsid w:val="35332EFF"/>
    <w:rsid w:val="36541A28"/>
    <w:rsid w:val="3A9E4FF7"/>
    <w:rsid w:val="3E45215D"/>
    <w:rsid w:val="43617533"/>
    <w:rsid w:val="44561CC3"/>
    <w:rsid w:val="586E202F"/>
    <w:rsid w:val="5B965CDD"/>
    <w:rsid w:val="6F39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56" w:beforeLines="50" w:line="0" w:lineRule="atLeast"/>
      <w:ind w:firstLine="200" w:firstLineChars="200"/>
      <w:outlineLvl w:val="1"/>
    </w:pPr>
    <w:rPr>
      <w:rFonts w:ascii="Arial" w:hAnsi="Arial" w:eastAsia="黑体"/>
      <w:b/>
      <w:bCs/>
      <w:kern w:val="0"/>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rPr>
      <w:lang w:val="zh-CN"/>
    </w:rPr>
  </w:style>
  <w:style w:type="paragraph" w:styleId="4">
    <w:name w:val="Body Text Indent"/>
    <w:basedOn w:val="1"/>
    <w:unhideWhenUsed/>
    <w:qFormat/>
    <w:uiPriority w:val="0"/>
    <w:pPr>
      <w:spacing w:after="120"/>
      <w:ind w:left="420" w:leftChars="200"/>
    </w:p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4"/>
    <w:qFormat/>
    <w:uiPriority w:val="0"/>
    <w:pPr>
      <w:spacing w:line="360" w:lineRule="auto"/>
      <w:ind w:firstLine="200" w:firstLineChars="200"/>
    </w:pPr>
    <w:rPr>
      <w:spacing w:val="4"/>
      <w:sz w:val="28"/>
      <w:szCs w:val="28"/>
    </w:rPr>
  </w:style>
  <w:style w:type="character" w:customStyle="1" w:styleId="10">
    <w:name w:val="页眉 Char"/>
    <w:basedOn w:val="9"/>
    <w:link w:val="6"/>
    <w:qFormat/>
    <w:uiPriority w:val="99"/>
    <w:rPr>
      <w:sz w:val="18"/>
      <w:szCs w:val="18"/>
    </w:rPr>
  </w:style>
  <w:style w:type="character" w:customStyle="1" w:styleId="11">
    <w:name w:val="页脚 Char"/>
    <w:basedOn w:val="9"/>
    <w:link w:val="5"/>
    <w:autoRedefine/>
    <w:qFormat/>
    <w:uiPriority w:val="99"/>
    <w:rPr>
      <w:sz w:val="18"/>
      <w:szCs w:val="18"/>
    </w:rPr>
  </w:style>
  <w:style w:type="paragraph" w:customStyle="1" w:styleId="12">
    <w:name w:val="Char Char Char Char Char Char Char Char Char Char Char Char Char Char Char Char Char Char Char Char Char Char Char Char Char"/>
    <w:basedOn w:val="1"/>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C9FDD-34BE-41AA-B561-0F66AB8F8A1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2228</Words>
  <Characters>2401</Characters>
  <Lines>18</Lines>
  <Paragraphs>5</Paragraphs>
  <TotalTime>0</TotalTime>
  <ScaleCrop>false</ScaleCrop>
  <LinksUpToDate>false</LinksUpToDate>
  <CharactersWithSpaces>2416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2020-03-12T01:15:00Z</dcterms:created>
  <dc:creator>xbany</dc:creator>
  <cp:lastModifiedBy>谁浮夸年华</cp:lastModifiedBy>
  <cp:lastPrinted>2020-03-25T02:57:00Z</cp:lastPrinted>
  <dcterms:modified xsi:type="dcterms:W3CDTF">2025-08-20T01:48:24Z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D5D76AB351DE44B482A1E4421CDAE6FC</vt:lpwstr>
  </property>
  <property fmtid="{D5CDD505-2E9C-101B-9397-08002B2CF9AE}" pid="4" name="KSOTemplateDocerSaveRecord">
    <vt:lpwstr>eyJoZGlkIjoiNzM3NjRmNzViOGI2NDY5ZTE2NDFhZWIzNmJmYjc5ZDIiLCJ1c2VySWQiOiIzMzU4OTk0MzUifQ==</vt:lpwstr>
  </property>
</Properties>
</file>