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napToGrid w:val="0"/>
        <w:spacing w:before="312" w:beforeLines="100" w:after="312" w:afterLines="100" w:line="360" w:lineRule="auto"/>
        <w:jc w:val="both"/>
        <w:textAlignment w:val="baseline"/>
        <w:rPr>
          <w:rFonts w:ascii="微软雅黑" w:hAnsi="微软雅黑" w:eastAsia="微软雅黑" w:cs="微软雅黑"/>
          <w:sz w:val="32"/>
          <w:szCs w:val="32"/>
        </w:rPr>
      </w:pPr>
      <w:r>
        <w:rPr>
          <w:rFonts w:hint="eastAsia" w:ascii="微软雅黑" w:hAnsi="微软雅黑" w:eastAsia="微软雅黑" w:cs="微软雅黑"/>
          <w:sz w:val="32"/>
          <w:szCs w:val="32"/>
        </w:rPr>
        <w:t>附件6</w:t>
      </w:r>
    </w:p>
    <w:p>
      <w:pPr>
        <w:pStyle w:val="6"/>
        <w:snapToGrid w:val="0"/>
        <w:spacing w:before="312" w:beforeLines="100" w:after="312" w:afterLines="100" w:line="360" w:lineRule="auto"/>
        <w:textAlignment w:val="baseline"/>
        <w:rPr>
          <w:rFonts w:ascii="微软雅黑" w:hAnsi="微软雅黑" w:eastAsia="微软雅黑" w:cs="微软雅黑"/>
          <w:sz w:val="44"/>
          <w:szCs w:val="44"/>
        </w:rPr>
      </w:pPr>
      <w:r>
        <w:rPr>
          <w:rFonts w:hint="eastAsia" w:ascii="微软雅黑" w:hAnsi="微软雅黑" w:eastAsia="微软雅黑" w:cs="微软雅黑"/>
          <w:sz w:val="44"/>
          <w:szCs w:val="44"/>
        </w:rPr>
        <w:t>云南省大理市雪茄烟专营零售点布局标准</w:t>
      </w:r>
    </w:p>
    <w:p>
      <w:pPr>
        <w:adjustRightInd w:val="0"/>
        <w:snapToGrid w:val="0"/>
        <w:spacing w:line="360" w:lineRule="auto"/>
        <w:ind w:firstLine="640" w:firstLineChars="200"/>
        <w:textAlignment w:val="baseline"/>
        <w:rPr>
          <w:rFonts w:eastAsia="仿宋_GB2312"/>
          <w:sz w:val="32"/>
          <w:szCs w:val="32"/>
        </w:rPr>
      </w:pPr>
      <w:r>
        <w:rPr>
          <w:rFonts w:hint="eastAsia" w:ascii="黑体" w:hAnsi="黑体" w:eastAsia="黑体" w:cs="Times New Roman"/>
          <w:sz w:val="32"/>
          <w:szCs w:val="32"/>
        </w:rPr>
        <w:t>第一条</w:t>
      </w:r>
      <w:r>
        <w:rPr>
          <w:rFonts w:hint="eastAsia" w:eastAsia="仿宋_GB2312"/>
          <w:sz w:val="32"/>
          <w:szCs w:val="32"/>
        </w:rPr>
        <w:t xml:space="preserve">  </w:t>
      </w:r>
      <w:r>
        <w:rPr>
          <w:rFonts w:eastAsia="仿宋_GB2312"/>
          <w:sz w:val="32"/>
          <w:szCs w:val="32"/>
        </w:rPr>
        <w:t>本</w:t>
      </w:r>
      <w:r>
        <w:rPr>
          <w:rFonts w:hint="eastAsia" w:eastAsia="仿宋_GB2312"/>
          <w:sz w:val="32"/>
          <w:szCs w:val="32"/>
        </w:rPr>
        <w:t>标准</w:t>
      </w:r>
      <w:r>
        <w:rPr>
          <w:rFonts w:eastAsia="仿宋_GB2312"/>
          <w:sz w:val="32"/>
          <w:szCs w:val="32"/>
        </w:rPr>
        <w:t>根据地域面积、人口数量、交通状况、经济发展水平、居民消费能力、消费购买习惯等因素，确定</w:t>
      </w:r>
      <w:r>
        <w:rPr>
          <w:rFonts w:hint="eastAsia" w:eastAsia="仿宋_GB2312"/>
          <w:sz w:val="32"/>
          <w:szCs w:val="32"/>
        </w:rPr>
        <w:t>大理市行政</w:t>
      </w:r>
      <w:r>
        <w:rPr>
          <w:rFonts w:eastAsia="仿宋_GB2312"/>
          <w:sz w:val="32"/>
          <w:szCs w:val="32"/>
        </w:rPr>
        <w:t>区域</w:t>
      </w:r>
      <w:r>
        <w:rPr>
          <w:rFonts w:hint="eastAsia" w:eastAsia="仿宋_GB2312"/>
          <w:sz w:val="32"/>
          <w:szCs w:val="32"/>
        </w:rPr>
        <w:t>雪茄烟专营</w:t>
      </w:r>
      <w:r>
        <w:rPr>
          <w:rFonts w:eastAsia="仿宋_GB2312"/>
          <w:sz w:val="32"/>
          <w:szCs w:val="32"/>
        </w:rPr>
        <w:t>零售点规划数</w:t>
      </w:r>
      <w:r>
        <w:rPr>
          <w:rFonts w:hint="eastAsia" w:eastAsia="仿宋_GB2312"/>
          <w:sz w:val="32"/>
          <w:szCs w:val="32"/>
        </w:rPr>
        <w:t>为2023年</w:t>
      </w:r>
      <w:r>
        <w:rPr>
          <w:rFonts w:hint="eastAsia" w:eastAsia="仿宋_GB2312"/>
          <w:sz w:val="32"/>
          <w:szCs w:val="32"/>
          <w:lang w:val="en-US" w:eastAsia="zh-CN"/>
        </w:rPr>
        <w:t>12月31日</w:t>
      </w:r>
      <w:r>
        <w:rPr>
          <w:rFonts w:hint="eastAsia" w:eastAsia="仿宋_GB2312"/>
          <w:sz w:val="32"/>
          <w:szCs w:val="32"/>
        </w:rPr>
        <w:t>烟草制品零售点总数的千分之十五，即46个，不</w:t>
      </w:r>
      <w:r>
        <w:rPr>
          <w:rFonts w:eastAsia="仿宋_GB2312"/>
          <w:sz w:val="32"/>
          <w:szCs w:val="32"/>
        </w:rPr>
        <w:t>划定最小单元网格</w:t>
      </w:r>
      <w:r>
        <w:rPr>
          <w:rFonts w:hint="eastAsia" w:eastAsia="仿宋_GB2312"/>
          <w:sz w:val="32"/>
          <w:szCs w:val="32"/>
        </w:rPr>
        <w:t>。雪茄烟专营零售点间距不低于5米</w:t>
      </w:r>
      <w:r>
        <w:rPr>
          <w:rFonts w:eastAsia="仿宋_GB2312"/>
          <w:sz w:val="32"/>
          <w:szCs w:val="32"/>
        </w:rPr>
        <w:t>。零售点数量达到规划数时，不予新设零售点。</w:t>
      </w:r>
    </w:p>
    <w:p>
      <w:pPr>
        <w:adjustRightInd w:val="0"/>
        <w:snapToGrid w:val="0"/>
        <w:spacing w:line="360" w:lineRule="auto"/>
        <w:ind w:firstLine="640" w:firstLineChars="200"/>
        <w:jc w:val="left"/>
        <w:rPr>
          <w:rFonts w:eastAsia="仿宋_GB2312"/>
          <w:sz w:val="32"/>
          <w:szCs w:val="32"/>
        </w:rPr>
      </w:pPr>
      <w:r>
        <w:rPr>
          <w:rFonts w:hint="eastAsia" w:ascii="黑体" w:hAnsi="黑体" w:eastAsia="黑体" w:cs="Times New Roman"/>
          <w:sz w:val="32"/>
          <w:szCs w:val="32"/>
        </w:rPr>
        <w:t xml:space="preserve">第二条  </w:t>
      </w:r>
      <w:r>
        <w:rPr>
          <w:rFonts w:eastAsia="仿宋_GB2312"/>
          <w:spacing w:val="10"/>
          <w:sz w:val="32"/>
          <w:szCs w:val="32"/>
        </w:rPr>
        <w:t>本</w:t>
      </w:r>
      <w:r>
        <w:rPr>
          <w:rFonts w:hint="eastAsia" w:eastAsia="仿宋_GB2312"/>
          <w:spacing w:val="10"/>
          <w:sz w:val="32"/>
          <w:szCs w:val="32"/>
        </w:rPr>
        <w:t>标准</w:t>
      </w:r>
      <w:r>
        <w:rPr>
          <w:rFonts w:eastAsia="仿宋_GB2312"/>
          <w:spacing w:val="10"/>
          <w:sz w:val="32"/>
          <w:szCs w:val="32"/>
        </w:rPr>
        <w:t>根据零售市场状态、</w:t>
      </w:r>
      <w:r>
        <w:rPr>
          <w:rFonts w:eastAsia="仿宋_GB2312"/>
          <w:sz w:val="32"/>
          <w:szCs w:val="32"/>
        </w:rPr>
        <w:t>交通状况、人口热度、消费购买习惯等</w:t>
      </w:r>
      <w:r>
        <w:rPr>
          <w:rFonts w:eastAsia="仿宋_GB2312"/>
          <w:spacing w:val="10"/>
          <w:sz w:val="32"/>
          <w:szCs w:val="32"/>
        </w:rPr>
        <w:t>因素，合理确定零售点间距。零售点间距是指申请人拟从事</w:t>
      </w:r>
      <w:r>
        <w:rPr>
          <w:rFonts w:hint="eastAsia" w:eastAsia="仿宋_GB2312"/>
          <w:spacing w:val="10"/>
          <w:sz w:val="32"/>
          <w:szCs w:val="32"/>
        </w:rPr>
        <w:t>雪茄烟专营</w:t>
      </w:r>
      <w:r>
        <w:rPr>
          <w:rFonts w:eastAsia="仿宋_GB2312"/>
          <w:spacing w:val="10"/>
          <w:sz w:val="32"/>
          <w:szCs w:val="32"/>
        </w:rPr>
        <w:t>零售业务的经营场所与最近的</w:t>
      </w:r>
      <w:r>
        <w:rPr>
          <w:rFonts w:hint="eastAsia" w:eastAsia="仿宋_GB2312"/>
          <w:spacing w:val="10"/>
          <w:sz w:val="32"/>
          <w:szCs w:val="32"/>
        </w:rPr>
        <w:t>雪茄烟专营</w:t>
      </w:r>
      <w:r>
        <w:rPr>
          <w:rFonts w:eastAsia="仿宋_GB2312"/>
          <w:spacing w:val="10"/>
          <w:sz w:val="32"/>
          <w:szCs w:val="32"/>
        </w:rPr>
        <w:t>零售点之间的距离。测量的总体原则为两个零售点“门边到门边”可安全步行的最短距离。</w:t>
      </w:r>
      <w:r>
        <w:rPr>
          <w:rFonts w:eastAsia="仿宋_GB2312"/>
          <w:sz w:val="32"/>
          <w:szCs w:val="32"/>
        </w:rPr>
        <w:t>测量规则及标准</w:t>
      </w:r>
      <w:r>
        <w:rPr>
          <w:rFonts w:eastAsia="仿宋_GB2312"/>
          <w:spacing w:val="10"/>
          <w:sz w:val="32"/>
          <w:szCs w:val="32"/>
        </w:rPr>
        <w:t>详见《云南省</w:t>
      </w:r>
      <w:r>
        <w:rPr>
          <w:rFonts w:hint="eastAsia" w:eastAsia="仿宋_GB2312"/>
          <w:spacing w:val="10"/>
          <w:sz w:val="32"/>
          <w:szCs w:val="32"/>
        </w:rPr>
        <w:t>大理市烟草制品</w:t>
      </w:r>
      <w:r>
        <w:rPr>
          <w:rFonts w:eastAsia="仿宋_GB2312"/>
          <w:spacing w:val="10"/>
          <w:sz w:val="32"/>
          <w:szCs w:val="32"/>
        </w:rPr>
        <w:t>零售点间距测量规则及标准》（附件</w:t>
      </w:r>
      <w:r>
        <w:rPr>
          <w:rFonts w:hint="eastAsia" w:eastAsia="仿宋_GB2312"/>
          <w:spacing w:val="10"/>
          <w:sz w:val="32"/>
          <w:szCs w:val="32"/>
        </w:rPr>
        <w:t>1</w:t>
      </w:r>
      <w:r>
        <w:rPr>
          <w:rFonts w:eastAsia="仿宋_GB2312"/>
          <w:spacing w:val="10"/>
          <w:sz w:val="32"/>
          <w:szCs w:val="32"/>
        </w:rPr>
        <w:t>）</w:t>
      </w:r>
      <w:r>
        <w:rPr>
          <w:rFonts w:hint="eastAsia" w:eastAsia="仿宋_GB2312"/>
          <w:spacing w:val="10"/>
          <w:sz w:val="32"/>
          <w:szCs w:val="32"/>
        </w:rPr>
        <w:t>。</w:t>
      </w:r>
    </w:p>
    <w:p>
      <w:pPr>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第三条</w:t>
      </w:r>
      <w:r>
        <w:rPr>
          <w:rFonts w:hint="eastAsia" w:ascii="仿宋_GB2312" w:hAnsi="Times New Roman" w:eastAsia="仿宋_GB2312" w:cs="Times New Roman"/>
          <w:sz w:val="32"/>
          <w:szCs w:val="32"/>
        </w:rPr>
        <w:t xml:space="preserve">  雪茄烟专营零售点应具备独立的经营区域，其经营场所内应当具备雪茄烟经营设施设备（包含但不限于雪茄保湿房、雪茄保湿柜等用于雪茄储存管养的设施设备）。</w:t>
      </w:r>
    </w:p>
    <w:p>
      <w:pPr>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第四条 </w:t>
      </w:r>
      <w:r>
        <w:rPr>
          <w:rFonts w:hint="eastAsia" w:ascii="仿宋_GB2312" w:hAnsi="Times New Roman" w:eastAsia="仿宋_GB2312" w:cs="Times New Roman"/>
          <w:sz w:val="32"/>
          <w:szCs w:val="32"/>
        </w:rPr>
        <w:t xml:space="preserve"> 雪茄烟专营零售点的经营业态仅限于提供住宿、餐饮、休闲、娱乐等服务的酒吧、茶室、咖啡吧、餐吧、音乐吧、酒店、民宿、客栈、俱乐部、车行、商务会所等具备雪茄烟经营销售设施设备的实体零售店。</w:t>
      </w:r>
    </w:p>
    <w:p>
      <w:pPr>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第五条</w:t>
      </w:r>
      <w:r>
        <w:rPr>
          <w:rFonts w:hint="eastAsia" w:ascii="仿宋_GB2312" w:hAnsi="Times New Roman" w:eastAsia="仿宋_GB2312" w:cs="Times New Roman"/>
          <w:sz w:val="32"/>
          <w:szCs w:val="32"/>
        </w:rPr>
        <w:t xml:space="preserve">  雪茄烟专营零售点布局实行一证一址，采取</w:t>
      </w:r>
      <w:r>
        <w:rPr>
          <w:rFonts w:eastAsia="仿宋_GB2312"/>
          <w:sz w:val="32"/>
          <w:szCs w:val="32"/>
        </w:rPr>
        <w:t>数量限制</w:t>
      </w:r>
      <w:r>
        <w:rPr>
          <w:rFonts w:eastAsia="仿宋_GB2312"/>
          <w:bCs/>
          <w:sz w:val="32"/>
          <w:szCs w:val="32"/>
        </w:rPr>
        <w:t>与距离</w:t>
      </w:r>
      <w:r>
        <w:rPr>
          <w:rFonts w:eastAsia="仿宋_GB2312"/>
          <w:sz w:val="32"/>
          <w:szCs w:val="32"/>
        </w:rPr>
        <w:t>限制</w:t>
      </w:r>
      <w:r>
        <w:rPr>
          <w:rFonts w:eastAsia="仿宋_GB2312"/>
          <w:bCs/>
          <w:sz w:val="32"/>
          <w:szCs w:val="32"/>
        </w:rPr>
        <w:t>相结合</w:t>
      </w:r>
      <w:r>
        <w:rPr>
          <w:rFonts w:hint="eastAsia" w:eastAsia="仿宋_GB2312"/>
          <w:bCs/>
          <w:sz w:val="32"/>
          <w:szCs w:val="32"/>
        </w:rPr>
        <w:t>，</w:t>
      </w:r>
      <w:r>
        <w:rPr>
          <w:rFonts w:hint="eastAsia" w:ascii="仿宋_GB2312" w:hAnsi="Times New Roman" w:eastAsia="仿宋_GB2312" w:cs="Times New Roman"/>
          <w:sz w:val="32"/>
          <w:szCs w:val="32"/>
        </w:rPr>
        <w:t>与其他传统烟草制品零售点的距离不低于5米。</w:t>
      </w:r>
    </w:p>
    <w:p>
      <w:pPr>
        <w:adjustRightInd w:val="0"/>
        <w:snapToGrid w:val="0"/>
        <w:spacing w:line="360" w:lineRule="auto"/>
        <w:ind w:firstLine="640" w:firstLineChars="200"/>
        <w:jc w:val="left"/>
        <w:textAlignment w:val="baseline"/>
        <w:rPr>
          <w:rFonts w:eastAsia="仿宋_GB2312"/>
          <w:color w:val="000000" w:themeColor="text1"/>
          <w:spacing w:val="10"/>
          <w:sz w:val="32"/>
          <w:szCs w:val="32"/>
          <w14:textFill>
            <w14:solidFill>
              <w14:schemeClr w14:val="tx1"/>
            </w14:solidFill>
          </w14:textFill>
        </w:rPr>
      </w:pPr>
      <w:r>
        <w:rPr>
          <w:rFonts w:hint="eastAsia" w:ascii="黑体" w:hAnsi="黑体" w:eastAsia="黑体" w:cs="Times New Roman"/>
          <w:sz w:val="32"/>
          <w:szCs w:val="32"/>
        </w:rPr>
        <w:t>第六条</w:t>
      </w:r>
      <w:r>
        <w:rPr>
          <w:rFonts w:hint="eastAsia" w:eastAsia="仿宋_GB2312"/>
          <w:spacing w:val="10"/>
          <w:sz w:val="32"/>
          <w:szCs w:val="32"/>
        </w:rPr>
        <w:t xml:space="preserve">  </w:t>
      </w:r>
      <w:r>
        <w:rPr>
          <w:rFonts w:eastAsia="仿宋_GB2312"/>
          <w:color w:val="000000" w:themeColor="text1"/>
          <w:spacing w:val="10"/>
          <w:sz w:val="32"/>
          <w:szCs w:val="32"/>
          <w14:textFill>
            <w14:solidFill>
              <w14:schemeClr w14:val="tx1"/>
            </w14:solidFill>
          </w14:textFill>
        </w:rPr>
        <w:t>具有下列情形之一的，不予发放烟草专卖零售许可证</w:t>
      </w:r>
      <w:r>
        <w:rPr>
          <w:rFonts w:hint="eastAsia" w:eastAsia="仿宋_GB2312"/>
          <w:color w:val="000000" w:themeColor="text1"/>
          <w:spacing w:val="10"/>
          <w:sz w:val="32"/>
          <w:szCs w:val="32"/>
          <w14:textFill>
            <w14:solidFill>
              <w14:schemeClr w14:val="tx1"/>
            </w14:solidFill>
          </w14:textFill>
        </w:rPr>
        <w:t>：</w:t>
      </w:r>
    </w:p>
    <w:p>
      <w:pPr>
        <w:numPr>
          <w:ilvl w:val="255"/>
          <w:numId w:val="0"/>
        </w:numPr>
        <w:adjustRightInd w:val="0"/>
        <w:snapToGrid w:val="0"/>
        <w:spacing w:line="360" w:lineRule="auto"/>
        <w:ind w:firstLine="680" w:firstLineChars="200"/>
        <w:jc w:val="left"/>
        <w:textAlignment w:val="baseline"/>
        <w:rPr>
          <w:rFonts w:eastAsia="仿宋_GB2312"/>
          <w:color w:val="000000" w:themeColor="text1"/>
          <w:spacing w:val="10"/>
          <w:sz w:val="32"/>
          <w:szCs w:val="32"/>
          <w14:textFill>
            <w14:solidFill>
              <w14:schemeClr w14:val="tx1"/>
            </w14:solidFill>
          </w14:textFill>
        </w:rPr>
      </w:pPr>
      <w:bookmarkStart w:id="0" w:name="_Hlk162254438"/>
      <w:r>
        <w:rPr>
          <w:rFonts w:hint="eastAsia" w:eastAsia="仿宋_GB2312"/>
          <w:color w:val="000000" w:themeColor="text1"/>
          <w:spacing w:val="10"/>
          <w:sz w:val="32"/>
          <w:szCs w:val="32"/>
          <w14:textFill>
            <w14:solidFill>
              <w14:schemeClr w14:val="tx1"/>
            </w14:solidFill>
          </w14:textFill>
        </w:rPr>
        <w:t>（一）</w:t>
      </w:r>
      <w:r>
        <w:rPr>
          <w:rFonts w:eastAsia="仿宋_GB2312"/>
          <w:color w:val="000000" w:themeColor="text1"/>
          <w:spacing w:val="10"/>
          <w:sz w:val="32"/>
          <w:szCs w:val="32"/>
          <w14:textFill>
            <w14:solidFill>
              <w14:schemeClr w14:val="tx1"/>
            </w14:solidFill>
          </w14:textFill>
        </w:rPr>
        <w:t>申请人为</w:t>
      </w:r>
      <w:r>
        <w:rPr>
          <w:rFonts w:hint="eastAsia" w:eastAsia="仿宋_GB2312"/>
          <w:color w:val="000000" w:themeColor="text1"/>
          <w:spacing w:val="10"/>
          <w:sz w:val="32"/>
          <w:szCs w:val="32"/>
          <w14:textFill>
            <w14:solidFill>
              <w14:schemeClr w14:val="tx1"/>
            </w14:solidFill>
          </w14:textFill>
        </w:rPr>
        <w:t>未成年人、</w:t>
      </w:r>
      <w:r>
        <w:rPr>
          <w:rFonts w:eastAsia="仿宋_GB2312"/>
          <w:color w:val="000000" w:themeColor="text1"/>
          <w:spacing w:val="10"/>
          <w:sz w:val="32"/>
          <w:szCs w:val="32"/>
          <w14:textFill>
            <w14:solidFill>
              <w14:schemeClr w14:val="tx1"/>
            </w14:solidFill>
          </w14:textFill>
        </w:rPr>
        <w:t>无民事行为能力人或者限制行为能力人的；</w:t>
      </w:r>
      <w:r>
        <w:rPr>
          <w:rFonts w:eastAsia="仿宋_GB2312"/>
          <w:color w:val="000000" w:themeColor="text1"/>
          <w:spacing w:val="10"/>
          <w:sz w:val="32"/>
          <w:szCs w:val="32"/>
          <w14:textFill>
            <w14:solidFill>
              <w14:schemeClr w14:val="tx1"/>
            </w14:solidFill>
          </w14:textFill>
        </w:rPr>
        <w:br w:type="textWrapping"/>
      </w:r>
      <w:r>
        <w:rPr>
          <w:rFonts w:eastAsia="仿宋_GB2312"/>
          <w:color w:val="000000" w:themeColor="text1"/>
          <w:spacing w:val="10"/>
          <w:sz w:val="32"/>
          <w:szCs w:val="32"/>
          <w14:textFill>
            <w14:solidFill>
              <w14:schemeClr w14:val="tx1"/>
            </w14:solidFill>
          </w14:textFill>
        </w:rPr>
        <w:t>　　</w:t>
      </w:r>
      <w:r>
        <w:rPr>
          <w:rFonts w:hint="eastAsia" w:eastAsia="仿宋_GB2312"/>
          <w:color w:val="000000" w:themeColor="text1"/>
          <w:spacing w:val="10"/>
          <w:sz w:val="32"/>
          <w:szCs w:val="32"/>
          <w14:textFill>
            <w14:solidFill>
              <w14:schemeClr w14:val="tx1"/>
            </w14:solidFill>
          </w14:textFill>
        </w:rPr>
        <w:t>（二）</w:t>
      </w:r>
      <w:r>
        <w:rPr>
          <w:rFonts w:eastAsia="仿宋_GB2312"/>
          <w:color w:val="000000" w:themeColor="text1"/>
          <w:spacing w:val="10"/>
          <w:sz w:val="32"/>
          <w:szCs w:val="32"/>
          <w14:textFill>
            <w14:solidFill>
              <w14:schemeClr w14:val="tx1"/>
            </w14:solidFill>
          </w14:textFill>
        </w:rPr>
        <w:t>申请人隐瞒有关情况或提供虚假材料的；因隐瞒有关情况或者提供虚假材料，烟草专卖局作出不予受理或者不予发证决定后，申请人一年内再次提出申请的；</w:t>
      </w:r>
      <w:r>
        <w:rPr>
          <w:rFonts w:eastAsia="仿宋_GB2312"/>
          <w:color w:val="000000" w:themeColor="text1"/>
          <w:spacing w:val="10"/>
          <w:sz w:val="32"/>
          <w:szCs w:val="32"/>
          <w14:textFill>
            <w14:solidFill>
              <w14:schemeClr w14:val="tx1"/>
            </w14:solidFill>
          </w14:textFill>
        </w:rPr>
        <w:br w:type="textWrapping"/>
      </w:r>
      <w:r>
        <w:rPr>
          <w:rFonts w:eastAsia="仿宋_GB2312"/>
          <w:color w:val="000000" w:themeColor="text1"/>
          <w:spacing w:val="10"/>
          <w:sz w:val="32"/>
          <w:szCs w:val="32"/>
          <w14:textFill>
            <w14:solidFill>
              <w14:schemeClr w14:val="tx1"/>
            </w14:solidFill>
          </w14:textFill>
        </w:rPr>
        <w:t>　　</w:t>
      </w:r>
      <w:r>
        <w:rPr>
          <w:rFonts w:hint="eastAsia" w:eastAsia="仿宋_GB2312"/>
          <w:color w:val="000000" w:themeColor="text1"/>
          <w:spacing w:val="10"/>
          <w:sz w:val="32"/>
          <w:szCs w:val="32"/>
          <w14:textFill>
            <w14:solidFill>
              <w14:schemeClr w14:val="tx1"/>
            </w14:solidFill>
          </w14:textFill>
        </w:rPr>
        <w:t>（三）</w:t>
      </w:r>
      <w:r>
        <w:rPr>
          <w:rFonts w:eastAsia="仿宋_GB2312"/>
          <w:color w:val="000000" w:themeColor="text1"/>
          <w:spacing w:val="10"/>
          <w:sz w:val="32"/>
          <w:szCs w:val="32"/>
          <w14:textFill>
            <w14:solidFill>
              <w14:schemeClr w14:val="tx1"/>
            </w14:solidFill>
          </w14:textFill>
        </w:rPr>
        <w:t>被取消从事烟草专卖业务资格不满三年的；未领取烟草专卖零售许可证经营烟草专卖品业务，并且一年内被执法机关处罚两次以上，在三年内申请领取烟草专卖零售许可证的；因未领取烟草专卖零售许可证经营烟草专卖品业务被追究刑事责任，在三年内申请领取烟草专卖零售许可证的；</w:t>
      </w:r>
    </w:p>
    <w:p>
      <w:pPr>
        <w:adjustRightInd w:val="0"/>
        <w:snapToGrid w:val="0"/>
        <w:spacing w:line="360" w:lineRule="auto"/>
        <w:ind w:firstLine="680" w:firstLineChars="200"/>
        <w:jc w:val="left"/>
        <w:textAlignment w:val="baseline"/>
        <w:rPr>
          <w:rFonts w:eastAsia="仿宋_GB2312"/>
          <w:color w:val="000000" w:themeColor="text1"/>
          <w:spacing w:val="10"/>
          <w:sz w:val="32"/>
          <w:szCs w:val="32"/>
          <w14:textFill>
            <w14:solidFill>
              <w14:schemeClr w14:val="tx1"/>
            </w14:solidFill>
          </w14:textFill>
        </w:rPr>
      </w:pPr>
      <w:r>
        <w:rPr>
          <w:rFonts w:hint="eastAsia" w:eastAsia="仿宋_GB2312"/>
          <w:color w:val="000000" w:themeColor="text1"/>
          <w:spacing w:val="10"/>
          <w:sz w:val="32"/>
          <w:szCs w:val="32"/>
          <w14:textFill>
            <w14:solidFill>
              <w14:schemeClr w14:val="tx1"/>
            </w14:solidFill>
          </w14:textFill>
        </w:rPr>
        <w:t>（四）</w:t>
      </w:r>
      <w:r>
        <w:rPr>
          <w:rFonts w:eastAsia="仿宋_GB2312"/>
          <w:color w:val="000000" w:themeColor="text1"/>
          <w:spacing w:val="10"/>
          <w:sz w:val="32"/>
          <w:szCs w:val="32"/>
          <w14:textFill>
            <w14:solidFill>
              <w14:schemeClr w14:val="tx1"/>
            </w14:solidFill>
          </w14:textFill>
        </w:rPr>
        <w:t>外商投资的商业企业或者个体工商户，但有外资成分以提供住宿、餐饮、休闲、娱乐为主要经营的宾馆、酒店等属于娱乐服务类的企业除外；</w:t>
      </w:r>
      <w:r>
        <w:rPr>
          <w:rFonts w:eastAsia="仿宋_GB2312"/>
          <w:color w:val="000000" w:themeColor="text1"/>
          <w:spacing w:val="10"/>
          <w:sz w:val="32"/>
          <w:szCs w:val="32"/>
          <w14:textFill>
            <w14:solidFill>
              <w14:schemeClr w14:val="tx1"/>
            </w14:solidFill>
          </w14:textFill>
        </w:rPr>
        <w:br w:type="textWrapping"/>
      </w:r>
      <w:r>
        <w:rPr>
          <w:rFonts w:eastAsia="仿宋_GB2312"/>
          <w:color w:val="000000" w:themeColor="text1"/>
          <w:spacing w:val="10"/>
          <w:sz w:val="32"/>
          <w:szCs w:val="32"/>
          <w14:textFill>
            <w14:solidFill>
              <w14:schemeClr w14:val="tx1"/>
            </w14:solidFill>
          </w14:textFill>
        </w:rPr>
        <w:t>　　</w:t>
      </w:r>
      <w:r>
        <w:rPr>
          <w:rFonts w:hint="eastAsia" w:eastAsia="仿宋_GB2312"/>
          <w:color w:val="000000" w:themeColor="text1"/>
          <w:spacing w:val="10"/>
          <w:sz w:val="32"/>
          <w:szCs w:val="32"/>
          <w14:textFill>
            <w14:solidFill>
              <w14:schemeClr w14:val="tx1"/>
            </w14:solidFill>
          </w14:textFill>
        </w:rPr>
        <w:t>（五）</w:t>
      </w:r>
      <w:r>
        <w:rPr>
          <w:rFonts w:eastAsia="仿宋_GB2312"/>
          <w:color w:val="000000" w:themeColor="text1"/>
          <w:spacing w:val="10"/>
          <w:sz w:val="32"/>
          <w:szCs w:val="32"/>
          <w14:textFill>
            <w14:solidFill>
              <w14:schemeClr w14:val="tx1"/>
            </w14:solidFill>
          </w14:textFill>
        </w:rPr>
        <w:t>无固定经营场所的：包括但不限于流动的摊、点、车、棚、简易板房、活动板房（彩钢房）、临时占道的建筑</w:t>
      </w:r>
      <w:r>
        <w:rPr>
          <w:rFonts w:hint="eastAsia" w:eastAsia="仿宋_GB2312"/>
          <w:color w:val="000000" w:themeColor="text1"/>
          <w:spacing w:val="10"/>
          <w:sz w:val="32"/>
          <w:szCs w:val="32"/>
          <w14:textFill>
            <w14:solidFill>
              <w14:schemeClr w14:val="tx1"/>
            </w14:solidFill>
          </w14:textFill>
        </w:rPr>
        <w:t>、违章建筑、市政规划已标示待拆迁建筑</w:t>
      </w:r>
      <w:r>
        <w:rPr>
          <w:rFonts w:eastAsia="仿宋_GB2312"/>
          <w:color w:val="000000" w:themeColor="text1"/>
          <w:spacing w:val="10"/>
          <w:sz w:val="32"/>
          <w:szCs w:val="32"/>
          <w14:textFill>
            <w14:solidFill>
              <w14:schemeClr w14:val="tx1"/>
            </w14:solidFill>
          </w14:textFill>
        </w:rPr>
        <w:t>等；</w:t>
      </w:r>
      <w:r>
        <w:rPr>
          <w:rFonts w:eastAsia="仿宋_GB2312"/>
          <w:color w:val="000000" w:themeColor="text1"/>
          <w:spacing w:val="10"/>
          <w:sz w:val="32"/>
          <w:szCs w:val="32"/>
          <w14:textFill>
            <w14:solidFill>
              <w14:schemeClr w14:val="tx1"/>
            </w14:solidFill>
          </w14:textFill>
        </w:rPr>
        <w:br w:type="textWrapping"/>
      </w:r>
      <w:r>
        <w:rPr>
          <w:rFonts w:eastAsia="仿宋_GB2312"/>
          <w:color w:val="000000" w:themeColor="text1"/>
          <w:spacing w:val="10"/>
          <w:sz w:val="32"/>
          <w:szCs w:val="32"/>
          <w14:textFill>
            <w14:solidFill>
              <w14:schemeClr w14:val="tx1"/>
            </w14:solidFill>
          </w14:textFill>
        </w:rPr>
        <w:t>　　</w:t>
      </w:r>
      <w:r>
        <w:rPr>
          <w:rFonts w:hint="eastAsia" w:eastAsia="仿宋_GB2312"/>
          <w:color w:val="000000" w:themeColor="text1"/>
          <w:spacing w:val="10"/>
          <w:sz w:val="32"/>
          <w:szCs w:val="32"/>
          <w14:textFill>
            <w14:solidFill>
              <w14:schemeClr w14:val="tx1"/>
            </w14:solidFill>
          </w14:textFill>
        </w:rPr>
        <w:t>（六）</w:t>
      </w:r>
      <w:r>
        <w:rPr>
          <w:rFonts w:eastAsia="仿宋_GB2312"/>
          <w:color w:val="000000" w:themeColor="text1"/>
          <w:spacing w:val="10"/>
          <w:sz w:val="32"/>
          <w:szCs w:val="32"/>
          <w14:textFill>
            <w14:solidFill>
              <w14:schemeClr w14:val="tx1"/>
            </w14:solidFill>
          </w14:textFill>
        </w:rPr>
        <w:t>经营场所与住所不相独立的：包括但不限于经营场所为住所的客厅、餐厅、卧室、阳台、地下室、车库、储藏室等或居民楼内公用道、楼梯间等；</w:t>
      </w:r>
    </w:p>
    <w:p>
      <w:pPr>
        <w:adjustRightInd w:val="0"/>
        <w:snapToGrid w:val="0"/>
        <w:spacing w:line="360" w:lineRule="auto"/>
        <w:ind w:firstLine="680" w:firstLineChars="200"/>
        <w:jc w:val="left"/>
        <w:textAlignment w:val="baseline"/>
        <w:rPr>
          <w:rFonts w:eastAsia="仿宋_GB2312"/>
          <w:color w:val="000000" w:themeColor="text1"/>
          <w:spacing w:val="10"/>
          <w:sz w:val="32"/>
          <w:szCs w:val="32"/>
          <w14:textFill>
            <w14:solidFill>
              <w14:schemeClr w14:val="tx1"/>
            </w14:solidFill>
          </w14:textFill>
        </w:rPr>
      </w:pPr>
      <w:r>
        <w:rPr>
          <w:rFonts w:hint="eastAsia" w:eastAsia="仿宋_GB2312"/>
          <w:color w:val="000000" w:themeColor="text1"/>
          <w:spacing w:val="10"/>
          <w:sz w:val="32"/>
          <w:szCs w:val="32"/>
          <w14:textFill>
            <w14:solidFill>
              <w14:schemeClr w14:val="tx1"/>
            </w14:solidFill>
          </w14:textFill>
        </w:rPr>
        <w:t>（七）</w:t>
      </w:r>
      <w:r>
        <w:rPr>
          <w:rFonts w:eastAsia="仿宋_GB2312"/>
          <w:color w:val="000000" w:themeColor="text1"/>
          <w:spacing w:val="10"/>
          <w:sz w:val="32"/>
          <w:szCs w:val="32"/>
          <w14:textFill>
            <w14:solidFill>
              <w14:schemeClr w14:val="tx1"/>
            </w14:solidFill>
          </w14:textFill>
        </w:rPr>
        <w:t>经营场所已经办理了仍在有效期内的烟草专卖零售许可证的</w:t>
      </w:r>
      <w:r>
        <w:rPr>
          <w:rFonts w:hint="eastAsia" w:eastAsia="仿宋_GB2312"/>
          <w:color w:val="000000" w:themeColor="text1"/>
          <w:spacing w:val="10"/>
          <w:sz w:val="32"/>
          <w:szCs w:val="32"/>
          <w14:textFill>
            <w14:solidFill>
              <w14:schemeClr w14:val="tx1"/>
            </w14:solidFill>
          </w14:textFill>
        </w:rPr>
        <w:t>；</w:t>
      </w:r>
      <w:r>
        <w:rPr>
          <w:rFonts w:eastAsia="仿宋_GB2312"/>
          <w:color w:val="000000" w:themeColor="text1"/>
          <w:spacing w:val="10"/>
          <w:sz w:val="32"/>
          <w:szCs w:val="32"/>
          <w14:textFill>
            <w14:solidFill>
              <w14:schemeClr w14:val="tx1"/>
            </w14:solidFill>
          </w14:textFill>
        </w:rPr>
        <w:t>经营场所位于党政机关</w:t>
      </w:r>
      <w:r>
        <w:rPr>
          <w:rFonts w:hint="eastAsia" w:eastAsia="仿宋_GB2312"/>
          <w:color w:val="000000" w:themeColor="text1"/>
          <w:spacing w:val="10"/>
          <w:sz w:val="32"/>
          <w:szCs w:val="32"/>
          <w14:textFill>
            <w14:solidFill>
              <w14:schemeClr w14:val="tx1"/>
            </w14:solidFill>
          </w14:textFill>
        </w:rPr>
        <w:t>、医疗机构</w:t>
      </w:r>
      <w:r>
        <w:rPr>
          <w:rFonts w:eastAsia="仿宋_GB2312"/>
          <w:color w:val="000000" w:themeColor="text1"/>
          <w:spacing w:val="10"/>
          <w:sz w:val="32"/>
          <w:szCs w:val="32"/>
          <w14:textFill>
            <w14:solidFill>
              <w14:schemeClr w14:val="tx1"/>
            </w14:solidFill>
          </w14:textFill>
        </w:rPr>
        <w:t>内部的</w:t>
      </w:r>
      <w:r>
        <w:rPr>
          <w:rFonts w:hint="eastAsia" w:eastAsia="仿宋_GB2312"/>
          <w:color w:val="000000" w:themeColor="text1"/>
          <w:spacing w:val="10"/>
          <w:sz w:val="32"/>
          <w:szCs w:val="32"/>
          <w14:textFill>
            <w14:solidFill>
              <w14:schemeClr w14:val="tx1"/>
            </w14:solidFill>
          </w14:textFill>
        </w:rPr>
        <w:t>；</w:t>
      </w:r>
      <w:r>
        <w:rPr>
          <w:rFonts w:eastAsia="仿宋_GB2312"/>
          <w:color w:val="000000" w:themeColor="text1"/>
          <w:spacing w:val="10"/>
          <w:sz w:val="32"/>
          <w:szCs w:val="32"/>
          <w14:textFill>
            <w14:solidFill>
              <w14:schemeClr w14:val="tx1"/>
            </w14:solidFill>
          </w14:textFill>
        </w:rPr>
        <w:t>经营场所基于安全因素不适宜经营</w:t>
      </w:r>
      <w:r>
        <w:rPr>
          <w:rFonts w:hint="eastAsia" w:eastAsia="仿宋_GB2312"/>
          <w:color w:val="000000" w:themeColor="text1"/>
          <w:spacing w:val="10"/>
          <w:sz w:val="32"/>
          <w:szCs w:val="32"/>
          <w14:textFill>
            <w14:solidFill>
              <w14:schemeClr w14:val="tx1"/>
            </w14:solidFill>
          </w14:textFill>
        </w:rPr>
        <w:t>雪茄</w:t>
      </w:r>
      <w:r>
        <w:rPr>
          <w:rFonts w:eastAsia="仿宋_GB2312"/>
          <w:color w:val="000000" w:themeColor="text1"/>
          <w:spacing w:val="10"/>
          <w:sz w:val="32"/>
          <w:szCs w:val="32"/>
          <w14:textFill>
            <w14:solidFill>
              <w14:schemeClr w14:val="tx1"/>
            </w14:solidFill>
          </w14:textFill>
        </w:rPr>
        <w:t>烟的；</w:t>
      </w:r>
      <w:r>
        <w:rPr>
          <w:rFonts w:eastAsia="仿宋_GB2312"/>
          <w:color w:val="000000" w:themeColor="text1"/>
          <w:spacing w:val="10"/>
          <w:sz w:val="32"/>
          <w:szCs w:val="32"/>
          <w14:textFill>
            <w14:solidFill>
              <w14:schemeClr w14:val="tx1"/>
            </w14:solidFill>
          </w14:textFill>
        </w:rPr>
        <w:br w:type="textWrapping"/>
      </w:r>
      <w:r>
        <w:rPr>
          <w:rFonts w:eastAsia="仿宋_GB2312"/>
          <w:color w:val="000000" w:themeColor="text1"/>
          <w:spacing w:val="10"/>
          <w:sz w:val="32"/>
          <w:szCs w:val="32"/>
          <w14:textFill>
            <w14:solidFill>
              <w14:schemeClr w14:val="tx1"/>
            </w14:solidFill>
          </w14:textFill>
        </w:rPr>
        <w:t>　　</w:t>
      </w:r>
      <w:r>
        <w:rPr>
          <w:rFonts w:hint="eastAsia" w:eastAsia="仿宋_GB2312"/>
          <w:color w:val="000000" w:themeColor="text1"/>
          <w:spacing w:val="10"/>
          <w:sz w:val="32"/>
          <w:szCs w:val="32"/>
          <w14:textFill>
            <w14:solidFill>
              <w14:schemeClr w14:val="tx1"/>
            </w14:solidFill>
          </w14:textFill>
        </w:rPr>
        <w:t>（八）大理市</w:t>
      </w:r>
      <w:r>
        <w:rPr>
          <w:rFonts w:eastAsia="仿宋_GB2312"/>
          <w:color w:val="000000" w:themeColor="text1"/>
          <w:spacing w:val="10"/>
          <w:sz w:val="32"/>
          <w:szCs w:val="32"/>
          <w14:textFill>
            <w14:solidFill>
              <w14:schemeClr w14:val="tx1"/>
            </w14:solidFill>
          </w14:textFill>
        </w:rPr>
        <w:t>城区街道中小学、幼儿园学生正常出入的校门口</w:t>
      </w:r>
      <w:r>
        <w:rPr>
          <w:rFonts w:hint="eastAsia" w:eastAsia="仿宋_GB2312"/>
          <w:color w:val="000000" w:themeColor="text1"/>
          <w:spacing w:val="10"/>
          <w:sz w:val="32"/>
          <w:szCs w:val="32"/>
          <w14:textFill>
            <w14:solidFill>
              <w14:schemeClr w14:val="tx1"/>
            </w14:solidFill>
          </w14:textFill>
        </w:rPr>
        <w:t>（含通道）100</w:t>
      </w:r>
      <w:r>
        <w:rPr>
          <w:rFonts w:eastAsia="仿宋_GB2312"/>
          <w:color w:val="000000" w:themeColor="text1"/>
          <w:spacing w:val="10"/>
          <w:sz w:val="32"/>
          <w:szCs w:val="32"/>
          <w14:textFill>
            <w14:solidFill>
              <w14:schemeClr w14:val="tx1"/>
            </w14:solidFill>
          </w14:textFill>
        </w:rPr>
        <w:t>米以内，乡镇街道区域中小学、幼儿园学生正常出入的校门口</w:t>
      </w:r>
      <w:r>
        <w:rPr>
          <w:rFonts w:hint="eastAsia" w:eastAsia="仿宋_GB2312"/>
          <w:color w:val="000000" w:themeColor="text1"/>
          <w:spacing w:val="10"/>
          <w:sz w:val="32"/>
          <w:szCs w:val="32"/>
          <w14:textFill>
            <w14:solidFill>
              <w14:schemeClr w14:val="tx1"/>
            </w14:solidFill>
          </w14:textFill>
        </w:rPr>
        <w:t>（含通道）100</w:t>
      </w:r>
      <w:r>
        <w:rPr>
          <w:rFonts w:eastAsia="仿宋_GB2312"/>
          <w:color w:val="000000" w:themeColor="text1"/>
          <w:spacing w:val="10"/>
          <w:sz w:val="32"/>
          <w:szCs w:val="32"/>
          <w14:textFill>
            <w14:solidFill>
              <w14:schemeClr w14:val="tx1"/>
            </w14:solidFill>
          </w14:textFill>
        </w:rPr>
        <w:t>米以内</w:t>
      </w:r>
      <w:r>
        <w:rPr>
          <w:rFonts w:hint="eastAsia" w:eastAsia="仿宋_GB2312"/>
          <w:color w:val="000000" w:themeColor="text1"/>
          <w:spacing w:val="10"/>
          <w:sz w:val="32"/>
          <w:szCs w:val="32"/>
          <w14:textFill>
            <w14:solidFill>
              <w14:schemeClr w14:val="tx1"/>
            </w14:solidFill>
          </w14:textFill>
        </w:rPr>
        <w:t>；</w:t>
      </w:r>
    </w:p>
    <w:p>
      <w:pPr>
        <w:ind w:firstLine="680" w:firstLineChars="200"/>
        <w:rPr>
          <w:rFonts w:ascii="华文仿宋" w:hAnsi="华文仿宋" w:eastAsia="华文仿宋"/>
          <w:color w:val="000000" w:themeColor="text1"/>
          <w:sz w:val="32"/>
          <w:szCs w:val="32"/>
          <w14:textFill>
            <w14:solidFill>
              <w14:schemeClr w14:val="tx1"/>
            </w14:solidFill>
          </w14:textFill>
        </w:rPr>
      </w:pPr>
      <w:r>
        <w:rPr>
          <w:rFonts w:hint="eastAsia" w:eastAsia="仿宋_GB2312"/>
          <w:color w:val="000000" w:themeColor="text1"/>
          <w:spacing w:val="10"/>
          <w:sz w:val="32"/>
          <w:szCs w:val="32"/>
          <w14:textFill>
            <w14:solidFill>
              <w14:schemeClr w14:val="tx1"/>
            </w14:solidFill>
          </w14:textFill>
        </w:rPr>
        <w:t>（九）</w:t>
      </w:r>
      <w:r>
        <w:rPr>
          <w:rFonts w:eastAsia="仿宋_GB2312"/>
          <w:color w:val="000000" w:themeColor="text1"/>
          <w:spacing w:val="10"/>
          <w:sz w:val="32"/>
          <w:szCs w:val="32"/>
          <w14:textFill>
            <w14:solidFill>
              <w14:schemeClr w14:val="tx1"/>
            </w14:solidFill>
          </w14:textFill>
        </w:rPr>
        <w:t>利用自动售货机或者其他自动售货形式，销售或者变相销售烟草制品的，或者通过信息网络销售烟草专卖品的；</w:t>
      </w:r>
      <w:r>
        <w:rPr>
          <w:rFonts w:eastAsia="仿宋_GB2312"/>
          <w:color w:val="000000" w:themeColor="text1"/>
          <w:spacing w:val="10"/>
          <w:sz w:val="32"/>
          <w:szCs w:val="32"/>
          <w14:textFill>
            <w14:solidFill>
              <w14:schemeClr w14:val="tx1"/>
            </w14:solidFill>
          </w14:textFill>
        </w:rPr>
        <w:br w:type="textWrapping"/>
      </w:r>
      <w:r>
        <w:rPr>
          <w:rFonts w:eastAsia="仿宋_GB2312"/>
          <w:color w:val="000000" w:themeColor="text1"/>
          <w:spacing w:val="10"/>
          <w:sz w:val="32"/>
          <w:szCs w:val="32"/>
          <w14:textFill>
            <w14:solidFill>
              <w14:schemeClr w14:val="tx1"/>
            </w14:solidFill>
          </w14:textFill>
        </w:rPr>
        <w:t>　　</w:t>
      </w:r>
      <w:r>
        <w:rPr>
          <w:rFonts w:hint="eastAsia" w:eastAsia="仿宋_GB2312"/>
          <w:color w:val="000000" w:themeColor="text1"/>
          <w:spacing w:val="10"/>
          <w:sz w:val="32"/>
          <w:szCs w:val="32"/>
          <w14:textFill>
            <w14:solidFill>
              <w14:schemeClr w14:val="tx1"/>
            </w14:solidFill>
          </w14:textFill>
        </w:rPr>
        <w:t>（十）</w:t>
      </w:r>
      <w:r>
        <w:rPr>
          <w:rFonts w:ascii="Times New Roman" w:hAnsi="Times New Roman" w:eastAsia="仿宋_GB2312"/>
          <w:color w:val="000000" w:themeColor="text1"/>
          <w:spacing w:val="10"/>
          <w:sz w:val="32"/>
          <w:szCs w:val="32"/>
          <w14:textFill>
            <w14:solidFill>
              <w14:schemeClr w14:val="tx1"/>
            </w14:solidFill>
          </w14:textFill>
        </w:rPr>
        <w:t>经营业态存在</w:t>
      </w:r>
      <w:r>
        <w:rPr>
          <w:rFonts w:eastAsia="仿宋_GB2312"/>
          <w:color w:val="000000" w:themeColor="text1"/>
          <w:spacing w:val="10"/>
          <w:sz w:val="32"/>
          <w:szCs w:val="32"/>
          <w14:textFill>
            <w14:solidFill>
              <w14:schemeClr w14:val="tx1"/>
            </w14:solidFill>
          </w14:textFill>
        </w:rPr>
        <w:t>容易诱导未成年人关注、购买、吸食</w:t>
      </w:r>
      <w:r>
        <w:rPr>
          <w:rFonts w:hint="eastAsia" w:eastAsia="仿宋_GB2312"/>
          <w:color w:val="000000" w:themeColor="text1"/>
          <w:spacing w:val="10"/>
          <w:sz w:val="32"/>
          <w:szCs w:val="32"/>
          <w14:textFill>
            <w14:solidFill>
              <w14:schemeClr w14:val="tx1"/>
            </w14:solidFill>
          </w14:textFill>
        </w:rPr>
        <w:t>雪茄</w:t>
      </w:r>
      <w:r>
        <w:rPr>
          <w:rFonts w:eastAsia="仿宋_GB2312"/>
          <w:color w:val="000000" w:themeColor="text1"/>
          <w:spacing w:val="10"/>
          <w:sz w:val="32"/>
          <w:szCs w:val="32"/>
          <w14:textFill>
            <w14:solidFill>
              <w14:schemeClr w14:val="tx1"/>
            </w14:solidFill>
          </w14:textFill>
        </w:rPr>
        <w:t>烟或不利于未成年人保护的；</w:t>
      </w:r>
    </w:p>
    <w:p>
      <w:pPr>
        <w:adjustRightInd w:val="0"/>
        <w:snapToGrid w:val="0"/>
        <w:spacing w:line="360" w:lineRule="auto"/>
        <w:ind w:firstLine="680" w:firstLineChars="200"/>
        <w:jc w:val="left"/>
        <w:textAlignment w:val="baseline"/>
        <w:rPr>
          <w:rFonts w:eastAsia="仿宋_GB2312"/>
          <w:color w:val="000000" w:themeColor="text1"/>
          <w:spacing w:val="10"/>
          <w:sz w:val="32"/>
          <w:szCs w:val="32"/>
          <w14:textFill>
            <w14:solidFill>
              <w14:schemeClr w14:val="tx1"/>
            </w14:solidFill>
          </w14:textFill>
        </w:rPr>
      </w:pPr>
      <w:r>
        <w:rPr>
          <w:rFonts w:hint="eastAsia" w:eastAsia="仿宋_GB2312"/>
          <w:color w:val="000000" w:themeColor="text1"/>
          <w:spacing w:val="10"/>
          <w:sz w:val="32"/>
          <w:szCs w:val="32"/>
          <w14:textFill>
            <w14:solidFill>
              <w14:schemeClr w14:val="tx1"/>
            </w14:solidFill>
          </w14:textFill>
        </w:rPr>
        <w:t>（十一）</w:t>
      </w:r>
      <w:r>
        <w:rPr>
          <w:rFonts w:eastAsia="仿宋_GB2312"/>
          <w:color w:val="000000" w:themeColor="text1"/>
          <w:spacing w:val="10"/>
          <w:sz w:val="32"/>
          <w:szCs w:val="32"/>
          <w14:textFill>
            <w14:solidFill>
              <w14:schemeClr w14:val="tx1"/>
            </w14:solidFill>
          </w14:textFill>
        </w:rPr>
        <w:t>法律、法规、规章、规范性文件等规定的其他不予许可的情形。</w:t>
      </w:r>
    </w:p>
    <w:p>
      <w:pPr>
        <w:widowControl/>
        <w:ind w:firstLine="640" w:firstLineChars="200"/>
        <w:jc w:val="left"/>
        <w:rPr>
          <w:rFonts w:eastAsia="仿宋_GB2312"/>
          <w:color w:val="000000" w:themeColor="text1"/>
          <w:spacing w:val="10"/>
          <w:sz w:val="32"/>
          <w:szCs w:val="32"/>
          <w14:textFill>
            <w14:solidFill>
              <w14:schemeClr w14:val="tx1"/>
            </w14:solidFill>
          </w14:textFill>
        </w:rPr>
      </w:pPr>
      <w:r>
        <w:rPr>
          <w:rFonts w:hint="eastAsia" w:ascii="黑体" w:hAnsi="黑体" w:eastAsia="黑体" w:cs="Times New Roman"/>
          <w:sz w:val="32"/>
          <w:szCs w:val="32"/>
        </w:rPr>
        <w:t>第七条</w:t>
      </w:r>
      <w:r>
        <w:rPr>
          <w:rFonts w:hint="eastAsia" w:eastAsia="仿宋_GB2312"/>
          <w:spacing w:val="10"/>
          <w:sz w:val="32"/>
          <w:szCs w:val="32"/>
        </w:rPr>
        <w:t xml:space="preserve">  </w:t>
      </w:r>
      <w:r>
        <w:rPr>
          <w:rFonts w:eastAsia="仿宋_GB2312"/>
          <w:spacing w:val="10"/>
          <w:sz w:val="32"/>
          <w:szCs w:val="32"/>
        </w:rPr>
        <w:t>优抚对象</w:t>
      </w:r>
      <w:bookmarkEnd w:id="0"/>
      <w:bookmarkStart w:id="1" w:name="_GoBack"/>
      <w:bookmarkEnd w:id="1"/>
      <w:r>
        <w:rPr>
          <w:rFonts w:eastAsia="仿宋_GB2312"/>
          <w:spacing w:val="10"/>
          <w:sz w:val="32"/>
          <w:szCs w:val="32"/>
        </w:rPr>
        <w:t>等</w:t>
      </w:r>
      <w:r>
        <w:rPr>
          <w:rFonts w:hint="eastAsia" w:eastAsia="仿宋_GB2312"/>
          <w:spacing w:val="10"/>
          <w:sz w:val="32"/>
          <w:szCs w:val="32"/>
        </w:rPr>
        <w:t>特殊群体</w:t>
      </w:r>
      <w:r>
        <w:rPr>
          <w:rFonts w:eastAsia="仿宋_GB2312"/>
          <w:spacing w:val="10"/>
          <w:sz w:val="32"/>
          <w:szCs w:val="32"/>
        </w:rPr>
        <w:t>申请</w:t>
      </w:r>
      <w:r>
        <w:rPr>
          <w:rFonts w:hint="eastAsia" w:eastAsia="仿宋_GB2312"/>
          <w:spacing w:val="10"/>
          <w:sz w:val="32"/>
          <w:szCs w:val="32"/>
        </w:rPr>
        <w:t>雪茄烟专营</w:t>
      </w:r>
      <w:r>
        <w:rPr>
          <w:rFonts w:eastAsia="仿宋_GB2312"/>
          <w:spacing w:val="10"/>
          <w:sz w:val="32"/>
          <w:szCs w:val="32"/>
        </w:rPr>
        <w:t>零售许可证的，受规划数限制，零售点间距可放宽至间距标准的百分之</w:t>
      </w:r>
      <w:r>
        <w:rPr>
          <w:rFonts w:hint="eastAsia" w:eastAsia="仿宋_GB2312"/>
          <w:spacing w:val="10"/>
          <w:sz w:val="32"/>
          <w:szCs w:val="32"/>
        </w:rPr>
        <w:t>九十</w:t>
      </w:r>
      <w:r>
        <w:rPr>
          <w:rFonts w:eastAsia="仿宋_GB2312"/>
          <w:spacing w:val="10"/>
          <w:sz w:val="32"/>
          <w:szCs w:val="32"/>
        </w:rPr>
        <w:t>执行。</w:t>
      </w:r>
      <w:r>
        <w:rPr>
          <w:rFonts w:ascii="仿宋_GB2312" w:hAnsi="宋体" w:eastAsia="仿宋_GB2312" w:cs="仿宋_GB2312"/>
          <w:color w:val="000000" w:themeColor="text1"/>
          <w:kern w:val="0"/>
          <w:sz w:val="31"/>
          <w:szCs w:val="31"/>
          <w:lang w:bidi="ar"/>
          <w14:textFill>
            <w14:solidFill>
              <w14:schemeClr w14:val="tx1"/>
            </w14:solidFill>
          </w14:textFill>
        </w:rPr>
        <w:t>本规定政策</w:t>
      </w:r>
      <w:r>
        <w:rPr>
          <w:rFonts w:hint="eastAsia" w:ascii="仿宋_GB2312" w:hAnsi="宋体" w:eastAsia="仿宋_GB2312" w:cs="仿宋_GB2312"/>
          <w:color w:val="000000" w:themeColor="text1"/>
          <w:kern w:val="0"/>
          <w:sz w:val="31"/>
          <w:szCs w:val="31"/>
          <w:lang w:bidi="ar"/>
          <w14:textFill>
            <w14:solidFill>
              <w14:schemeClr w14:val="tx1"/>
            </w14:solidFill>
          </w14:textFill>
        </w:rPr>
        <w:t>，</w:t>
      </w:r>
      <w:r>
        <w:rPr>
          <w:rFonts w:ascii="仿宋_GB2312" w:hAnsi="宋体" w:eastAsia="仿宋_GB2312" w:cs="仿宋_GB2312"/>
          <w:color w:val="000000" w:themeColor="text1"/>
          <w:kern w:val="0"/>
          <w:sz w:val="31"/>
          <w:szCs w:val="31"/>
          <w:lang w:bidi="ar"/>
          <w14:textFill>
            <w14:solidFill>
              <w14:schemeClr w14:val="tx1"/>
            </w14:solidFill>
          </w14:textFill>
        </w:rPr>
        <w:t>同</w:t>
      </w:r>
      <w:r>
        <w:rPr>
          <w:rFonts w:hint="eastAsia" w:ascii="仿宋_GB2312" w:eastAsia="仿宋_GB2312" w:cs="仿宋_GB2312"/>
          <w:color w:val="000000" w:themeColor="text1"/>
          <w:sz w:val="31"/>
          <w:szCs w:val="31"/>
          <w14:textFill>
            <w14:solidFill>
              <w14:schemeClr w14:val="tx1"/>
            </w14:solidFill>
          </w14:textFill>
        </w:rPr>
        <w:t>一特殊群体申请人在大理市内仅适用一次。具体</w:t>
      </w:r>
      <w:r>
        <w:rPr>
          <w:rFonts w:hint="eastAsia" w:eastAsia="仿宋_GB2312"/>
          <w:color w:val="000000" w:themeColor="text1"/>
          <w:spacing w:val="10"/>
          <w:sz w:val="32"/>
          <w:szCs w:val="32"/>
          <w14:textFill>
            <w14:solidFill>
              <w14:schemeClr w14:val="tx1"/>
            </w14:solidFill>
          </w14:textFill>
        </w:rPr>
        <w:t>界定如下：</w:t>
      </w:r>
    </w:p>
    <w:p>
      <w:pPr>
        <w:ind w:firstLine="680" w:firstLineChars="200"/>
        <w:rPr>
          <w:rFonts w:eastAsia="仿宋_GB2312"/>
          <w:spacing w:val="10"/>
          <w:sz w:val="32"/>
          <w:szCs w:val="32"/>
        </w:rPr>
      </w:pPr>
      <w:r>
        <w:rPr>
          <w:rFonts w:hint="eastAsia" w:eastAsia="仿宋_GB2312"/>
          <w:spacing w:val="10"/>
          <w:sz w:val="32"/>
          <w:szCs w:val="32"/>
        </w:rPr>
        <w:t>（一）</w:t>
      </w:r>
      <w:r>
        <w:rPr>
          <w:rFonts w:eastAsia="仿宋_GB2312"/>
          <w:spacing w:val="10"/>
          <w:sz w:val="32"/>
          <w:szCs w:val="32"/>
        </w:rPr>
        <w:t>烈士、因公牺牲军人遗属（持有烈士证和相关证明材料的父母、配偶、成年子女）</w:t>
      </w:r>
      <w:r>
        <w:rPr>
          <w:rFonts w:hint="eastAsia" w:eastAsia="仿宋_GB2312"/>
          <w:spacing w:val="10"/>
          <w:sz w:val="32"/>
          <w:szCs w:val="32"/>
        </w:rPr>
        <w:t>。</w:t>
      </w:r>
    </w:p>
    <w:p>
      <w:pPr>
        <w:ind w:firstLine="680" w:firstLineChars="200"/>
        <w:rPr>
          <w:rFonts w:eastAsia="仿宋_GB2312"/>
          <w:spacing w:val="10"/>
          <w:sz w:val="32"/>
          <w:szCs w:val="32"/>
        </w:rPr>
      </w:pPr>
      <w:r>
        <w:rPr>
          <w:rFonts w:hint="eastAsia" w:eastAsia="仿宋_GB2312"/>
          <w:spacing w:val="10"/>
          <w:sz w:val="32"/>
          <w:szCs w:val="32"/>
        </w:rPr>
        <w:t>（二）</w:t>
      </w:r>
      <w:r>
        <w:rPr>
          <w:rFonts w:eastAsia="仿宋_GB2312"/>
          <w:spacing w:val="10"/>
          <w:sz w:val="32"/>
          <w:szCs w:val="32"/>
        </w:rPr>
        <w:t>具有自主经营能力和完全民事行为能力（精神残疾、智力残疾除外）的残疾人（持有合法有效残疾证和相关证明材料）</w:t>
      </w:r>
      <w:r>
        <w:rPr>
          <w:rFonts w:hint="eastAsia" w:eastAsia="仿宋_GB2312"/>
          <w:spacing w:val="10"/>
          <w:sz w:val="32"/>
          <w:szCs w:val="32"/>
        </w:rPr>
        <w:t>。</w:t>
      </w:r>
    </w:p>
    <w:p>
      <w:pPr>
        <w:ind w:firstLine="680" w:firstLineChars="200"/>
        <w:rPr>
          <w:rFonts w:eastAsia="仿宋_GB2312"/>
          <w:spacing w:val="10"/>
          <w:sz w:val="32"/>
          <w:szCs w:val="32"/>
        </w:rPr>
      </w:pPr>
      <w:r>
        <w:rPr>
          <w:rFonts w:hint="eastAsia" w:eastAsia="仿宋_GB2312"/>
          <w:spacing w:val="10"/>
          <w:sz w:val="32"/>
          <w:szCs w:val="32"/>
        </w:rPr>
        <w:t>（三）</w:t>
      </w:r>
      <w:r>
        <w:rPr>
          <w:rFonts w:eastAsia="仿宋_GB2312"/>
          <w:spacing w:val="10"/>
          <w:sz w:val="32"/>
          <w:szCs w:val="32"/>
        </w:rPr>
        <w:t>国家明文给予政策扶持，属地烟草专卖局经集体研究认为可以扶持照顾的对象（持有政府文件，属地烟草专卖局经集体研究会议纪要）</w:t>
      </w:r>
      <w:r>
        <w:rPr>
          <w:rFonts w:hint="eastAsia" w:eastAsia="仿宋_GB2312"/>
          <w:spacing w:val="10"/>
          <w:sz w:val="32"/>
          <w:szCs w:val="32"/>
        </w:rPr>
        <w:t>。</w:t>
      </w:r>
    </w:p>
    <w:p>
      <w:pPr>
        <w:ind w:firstLine="640" w:firstLineChars="200"/>
        <w:rPr>
          <w:rFonts w:eastAsia="仿宋_GB2312"/>
          <w:spacing w:val="10"/>
          <w:sz w:val="32"/>
          <w:szCs w:val="32"/>
        </w:rPr>
      </w:pPr>
      <w:r>
        <w:rPr>
          <w:rFonts w:hint="eastAsia" w:ascii="黑体" w:hAnsi="黑体" w:eastAsia="黑体" w:cs="Times New Roman"/>
          <w:sz w:val="32"/>
          <w:szCs w:val="32"/>
        </w:rPr>
        <w:t>第八条</w:t>
      </w:r>
      <w:r>
        <w:rPr>
          <w:rFonts w:hint="eastAsia" w:eastAsia="仿宋_GB2312"/>
          <w:spacing w:val="10"/>
          <w:sz w:val="32"/>
          <w:szCs w:val="32"/>
        </w:rPr>
        <w:t xml:space="preserve">  因道路规划、城市建设等客观原因，造成持证人无法在原核定地址经营之日起三十日内，持证人申请变更到区域内新址经营的，零售点间距可放宽间距标准的百分之五十执行。</w:t>
      </w:r>
    </w:p>
    <w:p>
      <w:pPr>
        <w:ind w:firstLine="640" w:firstLineChars="200"/>
        <w:rPr>
          <w:rFonts w:eastAsia="仿宋_GB2312"/>
          <w:spacing w:val="10"/>
          <w:sz w:val="32"/>
          <w:szCs w:val="32"/>
        </w:rPr>
      </w:pPr>
      <w:r>
        <w:rPr>
          <w:rFonts w:hint="eastAsia" w:ascii="黑体" w:hAnsi="黑体" w:eastAsia="黑体" w:cs="Times New Roman"/>
          <w:sz w:val="32"/>
          <w:szCs w:val="32"/>
        </w:rPr>
        <w:t>第九条</w:t>
      </w:r>
      <w:r>
        <w:rPr>
          <w:rFonts w:hint="eastAsia" w:eastAsia="仿宋_GB2312"/>
          <w:spacing w:val="10"/>
          <w:sz w:val="32"/>
          <w:szCs w:val="32"/>
        </w:rPr>
        <w:t xml:space="preserve">  因中小学及幼儿园新建、改扩建等客观原因，造成持证人无法在原核定地址经营之日起三十日内，持证人申请歇业并在区域内新址申请新办的，零售点间距可放宽至间距标准的百分之五十执行。</w:t>
      </w:r>
    </w:p>
    <w:p>
      <w:pPr>
        <w:ind w:firstLine="640" w:firstLineChars="200"/>
        <w:rPr>
          <w:rFonts w:eastAsia="仿宋_GB2312"/>
          <w:spacing w:val="10"/>
          <w:sz w:val="32"/>
          <w:szCs w:val="32"/>
        </w:rPr>
      </w:pPr>
      <w:r>
        <w:rPr>
          <w:rFonts w:hint="eastAsia" w:ascii="黑体" w:hAnsi="黑体" w:eastAsia="黑体" w:cs="Times New Roman"/>
          <w:sz w:val="32"/>
          <w:szCs w:val="32"/>
        </w:rPr>
        <w:t>第十条</w:t>
      </w:r>
      <w:r>
        <w:rPr>
          <w:rFonts w:hint="eastAsia" w:ascii="华文仿宋" w:hAnsi="华文仿宋" w:eastAsia="华文仿宋"/>
          <w:sz w:val="32"/>
          <w:szCs w:val="32"/>
        </w:rPr>
        <w:t xml:space="preserve">  </w:t>
      </w:r>
      <w:r>
        <w:rPr>
          <w:rFonts w:hint="eastAsia" w:eastAsia="仿宋_GB2312"/>
          <w:spacing w:val="10"/>
          <w:sz w:val="32"/>
          <w:szCs w:val="32"/>
        </w:rPr>
        <w:t>雪茄烟专营店经营主体申请变更需符合本标准中关于雪茄烟专营零售点合理布局标准的相关条款规定。</w:t>
      </w:r>
    </w:p>
    <w:p>
      <w:pPr>
        <w:ind w:firstLine="680" w:firstLineChars="200"/>
        <w:rPr>
          <w:rFonts w:ascii="方正小标宋简体" w:hAnsi="Times New Roman" w:eastAsia="方正小标宋简体" w:cs="Times New Roman"/>
          <w:sz w:val="32"/>
          <w:szCs w:val="32"/>
        </w:rPr>
      </w:pPr>
      <w:r>
        <w:rPr>
          <w:rFonts w:hint="eastAsia" w:eastAsia="仿宋_GB2312"/>
          <w:spacing w:val="10"/>
          <w:sz w:val="32"/>
          <w:szCs w:val="32"/>
        </w:rPr>
        <w:t>取得雪茄烟本店零售主体如在烟草专卖零售许可证有效期内申请增加经营其他烟草制品许可范围的，必须符合烟草制品零售点或电子烟零售点等合理布局规划及相对应的法律法规。</w:t>
      </w:r>
    </w:p>
    <w:p>
      <w:pPr>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第十一条</w:t>
      </w:r>
      <w:r>
        <w:rPr>
          <w:rFonts w:hint="eastAsia" w:ascii="仿宋_GB2312" w:hAnsi="Times New Roman" w:eastAsia="仿宋_GB2312" w:cs="Times New Roman"/>
          <w:sz w:val="32"/>
          <w:szCs w:val="32"/>
        </w:rPr>
        <w:t xml:space="preserve">  零售许可证（雪茄烟专营）的有效期限由审批机关根据实际情况决定，最长不超过5年。</w:t>
      </w:r>
    </w:p>
    <w:p>
      <w:pPr>
        <w:ind w:firstLine="680" w:firstLineChars="200"/>
        <w:rPr>
          <w:rFonts w:eastAsia="仿宋_GB2312"/>
          <w:spacing w:val="1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yOWI1ODFiNWU3YjQxNzY2YTY4OGE1ODU0NDcxODgifQ=="/>
    <w:docVar w:name="KSO_WPS_MARK_KEY" w:val="04563a89-8818-44ce-8904-4150d4e8cd18"/>
  </w:docVars>
  <w:rsids>
    <w:rsidRoot w:val="097F49AB"/>
    <w:rsid w:val="000159D3"/>
    <w:rsid w:val="00231E2D"/>
    <w:rsid w:val="00253462"/>
    <w:rsid w:val="004C6279"/>
    <w:rsid w:val="00BC6A39"/>
    <w:rsid w:val="00C05B28"/>
    <w:rsid w:val="040476D4"/>
    <w:rsid w:val="06E63A78"/>
    <w:rsid w:val="097F49AB"/>
    <w:rsid w:val="0A5A588C"/>
    <w:rsid w:val="0C8D55B7"/>
    <w:rsid w:val="0D3C6925"/>
    <w:rsid w:val="1328208E"/>
    <w:rsid w:val="18F3538E"/>
    <w:rsid w:val="19556A61"/>
    <w:rsid w:val="1B6C3306"/>
    <w:rsid w:val="1EFC01D6"/>
    <w:rsid w:val="1F4E7956"/>
    <w:rsid w:val="21115269"/>
    <w:rsid w:val="306B48AA"/>
    <w:rsid w:val="38595BFF"/>
    <w:rsid w:val="4A783AA4"/>
    <w:rsid w:val="58386B64"/>
    <w:rsid w:val="5DFFF7CB"/>
    <w:rsid w:val="62DC7E8E"/>
    <w:rsid w:val="663F3686"/>
    <w:rsid w:val="66727A5D"/>
    <w:rsid w:val="6FDF3F0F"/>
    <w:rsid w:val="7D626B67"/>
    <w:rsid w:val="DFEFA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unhideWhenUsed/>
    <w:qFormat/>
    <w:uiPriority w:val="0"/>
    <w:pPr>
      <w:spacing w:after="12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11"/>
    <w:pPr>
      <w:spacing w:before="240" w:after="240" w:line="312" w:lineRule="auto"/>
      <w:jc w:val="center"/>
      <w:outlineLvl w:val="1"/>
    </w:pPr>
    <w:rPr>
      <w:rFonts w:ascii="等线" w:hAnsi="等线" w:eastAsia="等线"/>
      <w:kern w:val="28"/>
      <w:sz w:val="40"/>
      <w:szCs w:val="40"/>
    </w:rPr>
  </w:style>
  <w:style w:type="paragraph" w:styleId="7">
    <w:name w:val="Title"/>
    <w:basedOn w:val="1"/>
    <w:next w:val="1"/>
    <w:qFormat/>
    <w:uiPriority w:val="10"/>
    <w:pPr>
      <w:spacing w:before="120" w:after="120"/>
      <w:jc w:val="center"/>
      <w:textAlignment w:val="baseline"/>
      <w:outlineLvl w:val="0"/>
    </w:pPr>
    <w:rPr>
      <w:rFonts w:ascii="方正小标宋简体" w:hAnsi="等线 Light" w:eastAsia="方正小标宋简体" w:cs="Times New Roman"/>
      <w:sz w:val="44"/>
      <w:szCs w:val="44"/>
    </w:rPr>
  </w:style>
  <w:style w:type="paragraph" w:styleId="10">
    <w:name w:val="List Paragraph"/>
    <w:basedOn w:val="1"/>
    <w:unhideWhenUsed/>
    <w:qFormat/>
    <w:uiPriority w:val="99"/>
    <w:pPr>
      <w:ind w:firstLine="420" w:firstLineChars="200"/>
    </w:pPr>
  </w:style>
  <w:style w:type="character" w:customStyle="1" w:styleId="11">
    <w:name w:val="页眉 字符"/>
    <w:basedOn w:val="9"/>
    <w:link w:val="5"/>
    <w:qFormat/>
    <w:uiPriority w:val="0"/>
    <w:rPr>
      <w:rFonts w:asciiTheme="minorHAnsi" w:hAnsiTheme="minorHAnsi" w:eastAsiaTheme="minorEastAsia" w:cstheme="minorBidi"/>
      <w:kern w:val="2"/>
      <w:sz w:val="18"/>
      <w:szCs w:val="18"/>
    </w:rPr>
  </w:style>
  <w:style w:type="character" w:customStyle="1" w:styleId="12">
    <w:name w:val="页脚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大理州直属党政机关单位</Company>
  <Pages>5</Pages>
  <Words>1861</Words>
  <Characters>1869</Characters>
  <Lines>13</Lines>
  <Paragraphs>3</Paragraphs>
  <TotalTime>1</TotalTime>
  <ScaleCrop>false</ScaleCrop>
  <LinksUpToDate>false</LinksUpToDate>
  <CharactersWithSpaces>1903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2024-09-29T12:03:00Z</dcterms:created>
  <dc:creator>马嵘</dc:creator>
  <cp:lastModifiedBy>user</cp:lastModifiedBy>
  <cp:lastPrinted>2024-09-11T14:05:00Z</cp:lastPrinted>
  <dcterms:modified xsi:type="dcterms:W3CDTF">2024-09-29T16:32:12Z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395610904905447189F53B350AC09550_13</vt:lpwstr>
  </property>
</Properties>
</file>