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4" w:line="224" w:lineRule="auto"/>
        <w:rPr>
          <w:rFonts w:hint="eastAsia" w:ascii="微软雅黑" w:hAnsi="微软雅黑" w:eastAsia="微软雅黑" w:cs="微软雅黑"/>
          <w:b/>
          <w:bCs/>
          <w:sz w:val="44"/>
          <w:szCs w:val="44"/>
        </w:rPr>
      </w:pPr>
      <w:r>
        <w:rPr>
          <w:rFonts w:hint="eastAsia" w:ascii="微软雅黑" w:hAnsi="微软雅黑" w:eastAsia="微软雅黑" w:cs="微软雅黑"/>
          <w:spacing w:val="8"/>
          <w:sz w:val="32"/>
          <w:szCs w:val="32"/>
        </w:rPr>
        <w:t>附件4</w:t>
      </w:r>
    </w:p>
    <w:p>
      <w:pPr>
        <w:snapToGrid w:val="0"/>
        <w:spacing w:line="317" w:lineRule="auto"/>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云南省大理市烟草制品零售点</w:t>
      </w:r>
    </w:p>
    <w:p>
      <w:pPr>
        <w:snapToGrid w:val="0"/>
        <w:spacing w:line="317" w:lineRule="auto"/>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合理布局规划数动态调整管理制度</w:t>
      </w:r>
    </w:p>
    <w:p>
      <w:pPr>
        <w:numPr>
          <w:ilvl w:val="0"/>
          <w:numId w:val="1"/>
        </w:numPr>
        <w:spacing w:before="312" w:beforeLines="100" w:after="312" w:afterLines="100" w:line="360" w:lineRule="auto"/>
        <w:ind w:firstLine="403"/>
        <w:jc w:val="center"/>
        <w:rPr>
          <w:rFonts w:hint="eastAsia" w:ascii="黑体" w:hAnsi="黑体" w:eastAsia="黑体" w:cs="黑体"/>
          <w:sz w:val="32"/>
          <w:szCs w:val="32"/>
        </w:rPr>
      </w:pPr>
      <w:r>
        <w:rPr>
          <w:rFonts w:hint="eastAsia" w:ascii="黑体" w:hAnsi="黑体" w:eastAsia="黑体" w:cs="黑体"/>
          <w:sz w:val="32"/>
          <w:szCs w:val="32"/>
        </w:rPr>
        <w:t>总则</w:t>
      </w:r>
    </w:p>
    <w:p>
      <w:pPr>
        <w:numPr>
          <w:ilvl w:val="2"/>
          <w:numId w:val="2"/>
        </w:numPr>
        <w:spacing w:line="360" w:lineRule="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建立健全合理布局规划管理动态调整机制，做好规范性文件的动态管理，保证《云南省大理市烟草制品零售点合理布局规划》的科学性、合理性、前瞻性，依据《中华人民共和国行政许可法》《中华人民共和国未成年人保护法》《中华人民共和国烟草专卖法》《中华人民共和国烟草专卖法实施条例》《烟草专卖许可证管理办法》《烟草专卖许可证管理办法实施细则》等法律法规和规章的规定，特制定本制度。</w:t>
      </w:r>
    </w:p>
    <w:p>
      <w:pPr>
        <w:numPr>
          <w:ilvl w:val="2"/>
          <w:numId w:val="2"/>
        </w:numPr>
        <w:spacing w:line="360" w:lineRule="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《云南省大理市烟草制品零售点合理布局规划》发布后，大理市烟草专卖局每季度根据本地经济发展、城乡建设、市场形势等变化情况对辖区单元网格零售点合理容量进行动态调整。</w:t>
      </w:r>
    </w:p>
    <w:p>
      <w:pPr>
        <w:numPr>
          <w:ilvl w:val="2"/>
          <w:numId w:val="2"/>
        </w:numPr>
        <w:spacing w:line="360" w:lineRule="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8"/>
          <w:sz w:val="32"/>
          <w:szCs w:val="32"/>
          <w14:textFill>
            <w14:solidFill>
              <w14:schemeClr w14:val="tx1"/>
            </w14:solidFill>
          </w14:textFill>
        </w:rPr>
        <w:t>每季度辖区单元网格零售点合理布局规划数动态调整后，应当在调整结束后五日内通过政府网站平台、行业网站平台及政务服务大厅等平台公示，公示三日后实施</w:t>
      </w:r>
      <w:r>
        <w:rPr>
          <w:rFonts w:hint="eastAsia" w:ascii="仿宋_GB2312" w:hAnsi="仿宋_GB2312" w:eastAsia="仿宋_GB2312" w:cs="仿宋_GB2312"/>
          <w:color w:val="000000" w:themeColor="text1"/>
          <w:sz w:val="32"/>
          <w:szCs w:val="32"/>
          <w14:textFill>
            <w14:solidFill>
              <w14:schemeClr w14:val="tx1"/>
            </w14:solidFill>
          </w14:textFill>
        </w:rPr>
        <w:t>。</w:t>
      </w:r>
    </w:p>
    <w:p>
      <w:pPr>
        <w:numPr>
          <w:ilvl w:val="2"/>
          <w:numId w:val="2"/>
        </w:numPr>
        <w:spacing w:line="360" w:lineRule="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动态调整由大理市烟草专卖局负责实施。</w:t>
      </w:r>
    </w:p>
    <w:p>
      <w:pPr>
        <w:numPr>
          <w:ilvl w:val="0"/>
          <w:numId w:val="1"/>
        </w:numPr>
        <w:spacing w:before="312" w:beforeLines="100" w:after="312" w:afterLines="100" w:line="360" w:lineRule="auto"/>
        <w:ind w:firstLine="403"/>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动态调整规则</w:t>
      </w:r>
    </w:p>
    <w:p>
      <w:pPr>
        <w:numPr>
          <w:ilvl w:val="2"/>
          <w:numId w:val="2"/>
        </w:numPr>
        <w:spacing w:line="360" w:lineRule="auto"/>
        <w:rPr>
          <w:rFonts w:hint="eastAsia" w:ascii="楷体" w:hAnsi="楷体" w:eastAsia="楷体" w:cs="楷体"/>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每季度最后一个月28日，从国家局或省级烟草专卖应用系统中提取辖区内所有单元网格现有零售点数量，经大理市烟草专卖局单位负责人审核后，封存数据。</w:t>
      </w:r>
    </w:p>
    <w:p>
      <w:pPr>
        <w:numPr>
          <w:ilvl w:val="2"/>
          <w:numId w:val="2"/>
        </w:numPr>
        <w:spacing w:line="360" w:lineRule="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现有零售点数量，计算辖区内合理容量变化情况，将本季度辖区零售点合理布局容量测算结果形成局长办公专题会议，经集体讨论后，审批确定季度《云南省大理市烟草专卖局烟草制品零售点合理布局动态调整公示表》。</w:t>
      </w:r>
    </w:p>
    <w:p>
      <w:pPr>
        <w:numPr>
          <w:ilvl w:val="2"/>
          <w:numId w:val="2"/>
        </w:numPr>
        <w:spacing w:line="360" w:lineRule="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审批通过后当日，大理市烟草专卖局及时将本季度《云南省大理市烟草专卖局烟草制品零售点合理布局动态调整公示表》报大理州烟草专卖局备案。</w:t>
      </w:r>
    </w:p>
    <w:p>
      <w:pPr>
        <w:numPr>
          <w:ilvl w:val="2"/>
          <w:numId w:val="2"/>
        </w:numPr>
        <w:spacing w:line="360" w:lineRule="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审批通过后三日内，大理市烟草专卖局通过政府网站平台、行业网站平台及政务服务大厅等平台公示《云南省大理市烟草专卖局烟草制品零售点合理布局动态调整公示表》。</w:t>
      </w:r>
    </w:p>
    <w:p>
      <w:pPr>
        <w:numPr>
          <w:ilvl w:val="0"/>
          <w:numId w:val="1"/>
        </w:numPr>
        <w:spacing w:before="312" w:beforeLines="100" w:after="312" w:afterLines="100" w:line="360" w:lineRule="auto"/>
        <w:ind w:firstLine="403"/>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附则</w:t>
      </w:r>
    </w:p>
    <w:p>
      <w:pPr>
        <w:numPr>
          <w:ilvl w:val="2"/>
          <w:numId w:val="2"/>
        </w:numPr>
        <w:spacing w:line="360" w:lineRule="auto"/>
        <w:rPr>
          <w:rFonts w:hint="eastAsia" w:ascii="楷体" w:hAnsi="楷体" w:eastAsia="楷体" w:cs="楷体"/>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大理州烟草专卖局负责监督管理大理市烟草专卖局动态调整过程及公示结果的规范性、公正性。每年检查一次大理市的动态调整执行情况。通过核实动态调整的过程性记录信息以及公开公示信息，加强零售点合理布局规划数动态调整的全过程监督。</w:t>
      </w:r>
    </w:p>
    <w:p>
      <w:pPr>
        <w:numPr>
          <w:ilvl w:val="2"/>
          <w:numId w:val="2"/>
        </w:numPr>
        <w:spacing w:line="360" w:lineRule="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本制度中按照年、月、日计算期间的，开始的当日不计入，自下一日开始计算。均以工作日计算</w:t>
      </w: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w:t>
      </w:r>
    </w:p>
    <w:p>
      <w:pPr>
        <w:numPr>
          <w:ilvl w:val="2"/>
          <w:numId w:val="2"/>
        </w:numPr>
        <w:spacing w:line="360" w:lineRule="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本制度由云南省大理市烟草专卖局负责解释。</w:t>
      </w:r>
    </w:p>
    <w:p>
      <w:pPr>
        <w:numPr>
          <w:ilvl w:val="2"/>
          <w:numId w:val="2"/>
        </w:numPr>
        <w:spacing w:line="360" w:lineRule="auto"/>
        <w:rPr>
          <w:rFonts w:hint="eastAsia" w:ascii="楷体" w:hAnsi="楷体" w:eastAsia="楷体" w:cs="楷体"/>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本制度自《云南省大理市烟草制品零售点合理布局规划》实施之日起同时施行。</w:t>
      </w:r>
    </w:p>
    <w:p>
      <w:pPr>
        <w:spacing w:line="360" w:lineRule="auto"/>
        <w:rPr>
          <w:rFonts w:hint="eastAsia" w:ascii="楷体" w:hAnsi="楷体" w:eastAsia="楷体" w:cs="楷体"/>
          <w:sz w:val="32"/>
          <w:szCs w:val="32"/>
        </w:rPr>
      </w:pPr>
    </w:p>
    <w:p>
      <w:pPr>
        <w:spacing w:before="312" w:beforeLines="100" w:after="312" w:afterLines="100" w:line="360" w:lineRule="auto"/>
        <w:rPr>
          <w:rFonts w:hint="eastAsia" w:ascii="黑体" w:hAnsi="黑体" w:eastAsia="黑体" w:cs="黑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E1C5B8"/>
    <w:multiLevelType w:val="multilevel"/>
    <w:tmpl w:val="ACE1C5B8"/>
    <w:lvl w:ilvl="0" w:tentative="0">
      <w:start w:val="1"/>
      <w:numFmt w:val="chineseCounting"/>
      <w:suff w:val="nothing"/>
      <w:lvlText w:val="第%1章 "/>
      <w:lvlJc w:val="left"/>
      <w:pPr>
        <w:ind w:left="0" w:firstLine="402"/>
      </w:pPr>
      <w:rPr>
        <w:rFonts w:hint="eastAsia" w:eastAsia="黑体"/>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F7FCD2BF"/>
    <w:multiLevelType w:val="multilevel"/>
    <w:tmpl w:val="F7FCD2B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eastAsia="黑体"/>
        <w:color w:val="auto"/>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yOWI1ODFiNWU3YjQxNzY2YTY4OGE1ODU0NDcxODgifQ=="/>
  </w:docVars>
  <w:rsids>
    <w:rsidRoot w:val="5567B6FB"/>
    <w:rsid w:val="001D2A4F"/>
    <w:rsid w:val="0048483E"/>
    <w:rsid w:val="004A2913"/>
    <w:rsid w:val="00707B05"/>
    <w:rsid w:val="007D03D7"/>
    <w:rsid w:val="00927FF6"/>
    <w:rsid w:val="00DC53CC"/>
    <w:rsid w:val="00DF58F4"/>
    <w:rsid w:val="079744B6"/>
    <w:rsid w:val="0D312945"/>
    <w:rsid w:val="12291EA1"/>
    <w:rsid w:val="22A66832"/>
    <w:rsid w:val="257539DE"/>
    <w:rsid w:val="27B76E38"/>
    <w:rsid w:val="2FEC7EA5"/>
    <w:rsid w:val="34A90091"/>
    <w:rsid w:val="38A34462"/>
    <w:rsid w:val="45410D09"/>
    <w:rsid w:val="47D72BF6"/>
    <w:rsid w:val="4CB66CE5"/>
    <w:rsid w:val="5567B6FB"/>
    <w:rsid w:val="59E75162"/>
    <w:rsid w:val="5C577036"/>
    <w:rsid w:val="5DEF46B6"/>
    <w:rsid w:val="5F77A049"/>
    <w:rsid w:val="6D89290A"/>
    <w:rsid w:val="6EDBA522"/>
    <w:rsid w:val="70F938AD"/>
    <w:rsid w:val="74C36D94"/>
    <w:rsid w:val="76DE89DC"/>
    <w:rsid w:val="795F2E3C"/>
    <w:rsid w:val="7FDCFDE9"/>
    <w:rsid w:val="BB9DA536"/>
    <w:rsid w:val="BBBC87D8"/>
    <w:rsid w:val="BFD5B949"/>
    <w:rsid w:val="DFBA1439"/>
    <w:rsid w:val="DFFEF499"/>
    <w:rsid w:val="EEFB10A9"/>
    <w:rsid w:val="EFA2DB1A"/>
    <w:rsid w:val="F77F429F"/>
    <w:rsid w:val="F7E832FE"/>
    <w:rsid w:val="F7E92626"/>
    <w:rsid w:val="FFF72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方正小标宋简体"/>
      <w:kern w:val="44"/>
      <w:sz w:val="44"/>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黑体"/>
      <w:sz w:val="28"/>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4">
    <w:name w:val="Subtitle"/>
    <w:basedOn w:val="1"/>
    <w:next w:val="1"/>
    <w:qFormat/>
    <w:uiPriority w:val="11"/>
    <w:pPr>
      <w:spacing w:before="240" w:after="240" w:line="312" w:lineRule="auto"/>
      <w:jc w:val="center"/>
      <w:outlineLvl w:val="1"/>
    </w:pPr>
    <w:rPr>
      <w:rFonts w:ascii="等线" w:hAnsi="等线" w:eastAsia="等线"/>
      <w:kern w:val="28"/>
      <w:sz w:val="40"/>
      <w:szCs w:val="40"/>
    </w:rPr>
  </w:style>
  <w:style w:type="character" w:styleId="7">
    <w:name w:val="Strong"/>
    <w:basedOn w:val="6"/>
    <w:qFormat/>
    <w:uiPriority w:val="0"/>
    <w:rPr>
      <w:b/>
    </w:rPr>
  </w:style>
  <w:style w:type="paragraph" w:customStyle="1" w:styleId="8">
    <w:name w:val="正文二级标题"/>
    <w:basedOn w:val="1"/>
    <w:qFormat/>
    <w:uiPriority w:val="0"/>
    <w:pPr>
      <w:widowControl/>
      <w:spacing w:before="480" w:after="120"/>
      <w:jc w:val="center"/>
      <w:outlineLvl w:val="0"/>
    </w:pPr>
    <w:rPr>
      <w:rFonts w:hint="eastAsia" w:ascii="黑体" w:hAnsi="黑体" w:eastAsia="黑体" w:cs="宋体"/>
      <w:b/>
      <w:kern w:val="0"/>
      <w:sz w:val="28"/>
      <w:szCs w:val="32"/>
    </w:rPr>
  </w:style>
  <w:style w:type="paragraph" w:customStyle="1" w:styleId="9">
    <w:name w:val="正文三级标题"/>
    <w:basedOn w:val="1"/>
    <w:qFormat/>
    <w:uiPriority w:val="0"/>
    <w:pPr>
      <w:widowControl/>
      <w:spacing w:before="240" w:after="120"/>
      <w:jc w:val="left"/>
      <w:outlineLvl w:val="0"/>
    </w:pPr>
    <w:rPr>
      <w:rFonts w:hint="eastAsia" w:ascii="黑体" w:hAnsi="黑体" w:eastAsia="黑体" w:cs="宋体"/>
      <w:kern w:val="0"/>
      <w:sz w:val="26"/>
      <w:szCs w:val="32"/>
    </w:rPr>
  </w:style>
  <w:style w:type="paragraph" w:customStyle="1" w:styleId="10">
    <w:name w:val="正文四级标题"/>
    <w:basedOn w:val="1"/>
    <w:qFormat/>
    <w:uiPriority w:val="0"/>
    <w:pPr>
      <w:widowControl/>
      <w:spacing w:before="240" w:after="120"/>
      <w:jc w:val="left"/>
      <w:outlineLvl w:val="0"/>
    </w:pPr>
    <w:rPr>
      <w:rFonts w:hint="eastAsia" w:ascii="黑体" w:hAnsi="黑体" w:eastAsia="黑体" w:cs="宋体"/>
      <w:kern w:val="0"/>
      <w:sz w:val="24"/>
      <w:szCs w:val="32"/>
    </w:rPr>
  </w:style>
  <w:style w:type="paragraph" w:customStyle="1" w:styleId="11">
    <w:name w:val="正文一级标题"/>
    <w:basedOn w:val="1"/>
    <w:qFormat/>
    <w:uiPriority w:val="0"/>
    <w:pPr>
      <w:widowControl/>
      <w:spacing w:before="480" w:after="360"/>
      <w:jc w:val="center"/>
      <w:outlineLvl w:val="0"/>
    </w:pPr>
    <w:rPr>
      <w:rFonts w:hint="eastAsia" w:ascii="黑体" w:hAnsi="黑体" w:eastAsia="黑体" w:cs="宋体"/>
      <w:b/>
      <w:kern w:val="0"/>
      <w:sz w:val="32"/>
      <w:szCs w:val="32"/>
    </w:rPr>
  </w:style>
  <w:style w:type="paragraph" w:customStyle="1" w:styleId="12">
    <w:name w:val="文字正文"/>
    <w:basedOn w:val="1"/>
    <w:link w:val="13"/>
    <w:qFormat/>
    <w:uiPriority w:val="0"/>
    <w:pPr>
      <w:spacing w:line="400" w:lineRule="exact"/>
      <w:ind w:left="200" w:leftChars="200" w:firstLine="721" w:firstLineChars="200"/>
    </w:pPr>
    <w:rPr>
      <w:rFonts w:hint="eastAsia" w:ascii="黑体" w:hAnsi="黑体" w:cs="宋体"/>
      <w:kern w:val="0"/>
      <w:sz w:val="24"/>
      <w:szCs w:val="28"/>
      <w:lang w:eastAsia="zh-Hans"/>
    </w:rPr>
  </w:style>
  <w:style w:type="character" w:customStyle="1" w:styleId="13">
    <w:name w:val="文字正文 Char"/>
    <w:link w:val="12"/>
    <w:qFormat/>
    <w:uiPriority w:val="0"/>
    <w:rPr>
      <w:rFonts w:hint="eastAsia" w:ascii="黑体" w:hAnsi="黑体" w:eastAsia="宋体" w:cs="宋体"/>
      <w:kern w:val="0"/>
      <w:sz w:val="24"/>
      <w:szCs w:val="28"/>
      <w:lang w:eastAsia="zh-Hans"/>
    </w:rPr>
  </w:style>
  <w:style w:type="paragraph" w:customStyle="1" w:styleId="14">
    <w:name w:val="摘要"/>
    <w:basedOn w:val="1"/>
    <w:qFormat/>
    <w:uiPriority w:val="0"/>
    <w:pPr>
      <w:spacing w:before="480" w:after="360"/>
      <w:jc w:val="center"/>
      <w:outlineLvl w:val="0"/>
    </w:pPr>
    <w:rPr>
      <w:rFonts w:hint="eastAsia" w:ascii="黑体" w:hAnsi="黑体" w:eastAsia="黑体"/>
      <w:b/>
      <w:bCs/>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917</Words>
  <Characters>918</Characters>
  <Lines>7</Lines>
  <Paragraphs>2</Paragraphs>
  <TotalTime>6</TotalTime>
  <ScaleCrop>false</ScaleCrop>
  <LinksUpToDate>false</LinksUpToDate>
  <CharactersWithSpaces>918</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2024-09-09T13:48:00Z</dcterms:created>
  <dc:creator>孙溧梁</dc:creator>
  <cp:lastModifiedBy>马嵘</cp:lastModifiedBy>
  <dcterms:modified xsi:type="dcterms:W3CDTF">2024-09-29T03:02:46Z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0A88611034CD4BA38E57DDA7EC6AAAAE_13</vt:lpwstr>
  </property>
</Properties>
</file>