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大理州人民医院医保服务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一、医保支付政策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保支付政策是保障广大人民群众医疗健康权益的重要措施之一，其目的是为了保障参保人员的医疗权益，减轻患者经济负担，促进医疗卫生事业的发展。医保支付政策包括基本医疗保险、大病保险、医疗救助等多个方面。医院严格遵守国家及地方医保政策，为患者提供合理的医疗费用报销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二、就诊报销流程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参保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患者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在医院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就医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结算时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出示本人社会保障卡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或者电子医保卡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居民身份证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发生的医疗费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即时结报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异地就医患者开通异地就医备案后，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在医院即时结报。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在州内突发急危重症的患者，按照“就近就急”原则进行抢救和住院治疗,无需办理转诊转院手续。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大理州内职工参保患者：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大理州内职工参保患者按就诊医院等级进行报销，不受分级诊疗制度限制。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大理州内城乡居民参保患者：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农村低收入人口住院发生的合规医药费用经基本医疗保险、大病保险、医疗救助报销后比例达到80%左右，未办理转诊手续的报销比例降低10%。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参保患者7天内转诊到同级别医院或下级医院住院治疗的，不再计算起付标准，转到上级医院住院的，起付标准补差额。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70周岁以上的参保人员，符合政策规定范围内的住院医疗费，支付比例提高5%。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以下情况不受转诊限制，可以享受正常报销比例：①危急重症患者；②65岁以上老年人、0-6岁的婴幼儿、重度残疾人、严重精神障碍患者；③同类疾病再次到原治疗的医疗机构入院治疗的患者。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三、报销依据和待遇保障</w:t>
      </w:r>
    </w:p>
    <w:p>
      <w:pPr>
        <w:pStyle w:val="2"/>
        <w:numPr>
          <w:ilvl w:val="0"/>
          <w:numId w:val="0"/>
        </w:num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（一）报销依据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医保报销的依据主要基于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《中华人民共和国社会保险法》、《医疗机构管理条例》、《医疗保障基金使用监督管理条例》等法律法规及政策规定，符合基本医疗保险药品目录、诊疗目录、医疗服务设施标准及急诊、抢救的医疗费用，按照国家规定从基本医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保险中支付。参保人员医疗费用中应当由基本医疗保险基金支付的部分，由社会保险经办机构与医疗机构、药品经营机构直接结算。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（二）待遇保障</w:t>
      </w:r>
    </w:p>
    <w:tbl>
      <w:tblPr>
        <w:tblStyle w:val="4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620"/>
        <w:gridCol w:w="934"/>
        <w:gridCol w:w="1139"/>
        <w:gridCol w:w="318"/>
        <w:gridCol w:w="890"/>
        <w:gridCol w:w="183"/>
        <w:gridCol w:w="840"/>
        <w:gridCol w:w="624"/>
        <w:gridCol w:w="398"/>
        <w:gridCol w:w="13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住院待遇报销政策---职工医保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93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医院级别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起付标准（元/次） </w:t>
            </w:r>
          </w:p>
        </w:tc>
        <w:tc>
          <w:tcPr>
            <w:tcW w:w="7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年度内二次以上住院</w:t>
            </w:r>
          </w:p>
        </w:tc>
        <w:tc>
          <w:tcPr>
            <w:tcW w:w="20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基金支付比例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退休人员(含70)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70周岁以上的参保人员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州内医院</w:t>
            </w:r>
          </w:p>
        </w:tc>
        <w:tc>
          <w:tcPr>
            <w:tcW w:w="93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一级医疗机构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92%</w:t>
            </w:r>
          </w:p>
        </w:tc>
        <w:tc>
          <w:tcPr>
            <w:tcW w:w="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93%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二级医疗机构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92%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三级医疗机构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88%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住院待遇报销政策---居民医保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医院类别</w:t>
            </w:r>
          </w:p>
        </w:tc>
        <w:tc>
          <w:tcPr>
            <w:tcW w:w="1434" w:type="pct"/>
            <w:gridSpan w:val="3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医院级别</w:t>
            </w:r>
          </w:p>
        </w:tc>
        <w:tc>
          <w:tcPr>
            <w:tcW w:w="644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起付标准（元/次） </w:t>
            </w:r>
          </w:p>
        </w:tc>
        <w:tc>
          <w:tcPr>
            <w:tcW w:w="1927" w:type="pct"/>
            <w:gridSpan w:val="4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基金支付比例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4" w:type="pct"/>
            <w:gridSpan w:val="3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普通人员</w:t>
            </w:r>
          </w:p>
        </w:tc>
        <w:tc>
          <w:tcPr>
            <w:tcW w:w="1049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70周岁以上的参保人员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94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州内医院</w:t>
            </w:r>
          </w:p>
        </w:tc>
        <w:tc>
          <w:tcPr>
            <w:tcW w:w="1434" w:type="pct"/>
            <w:gridSpan w:val="3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一级医疗机构</w:t>
            </w:r>
          </w:p>
        </w:tc>
        <w:tc>
          <w:tcPr>
            <w:tcW w:w="644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8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85%</w:t>
            </w:r>
          </w:p>
        </w:tc>
        <w:tc>
          <w:tcPr>
            <w:tcW w:w="1049" w:type="pct"/>
            <w:gridSpan w:val="2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9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4" w:type="pct"/>
            <w:gridSpan w:val="3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9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4" w:type="pct"/>
            <w:gridSpan w:val="3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4" w:type="pct"/>
            <w:gridSpan w:val="3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二级医疗机构</w:t>
            </w:r>
          </w:p>
        </w:tc>
        <w:tc>
          <w:tcPr>
            <w:tcW w:w="644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8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1049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" w:type="pct"/>
            <w:gridSpan w:val="2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4" w:type="pct"/>
            <w:gridSpan w:val="3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三级医疗机构</w:t>
            </w:r>
          </w:p>
        </w:tc>
        <w:tc>
          <w:tcPr>
            <w:tcW w:w="644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78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049" w:type="pct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65%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92"/>
        <w:gridCol w:w="1109"/>
        <w:gridCol w:w="1239"/>
        <w:gridCol w:w="1174"/>
        <w:gridCol w:w="26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门诊待遇保障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医疗类别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起付线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基本医疗保险比例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大病医疗保险比例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6000元以后与住院合并计算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退休职工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慢病门诊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300元（一年一次）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2400/3600/4200/5000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每个病种都不同，多个病种累计计算，最高3600元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特病门诊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700元（一年一次）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与住院限额合并计算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1200元（一年一次）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与住院限额合并计算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国谈门诊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700元（一年一个药一次）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与住院限额合并计算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1200元（一年一个药一次）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70%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同住院报销比例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与住院限额合并计算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医保科     </w:t>
      </w:r>
    </w:p>
    <w:p>
      <w:pPr>
        <w:pStyle w:val="2"/>
        <w:wordWrap w:val="0"/>
        <w:ind w:left="0" w:leftChars="0" w:firstLine="0" w:firstLineChars="0"/>
        <w:jc w:val="righ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2024年12月18日  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EF307F"/>
    <w:multiLevelType w:val="singleLevel"/>
    <w:tmpl w:val="CDEF307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60E5871"/>
    <w:multiLevelType w:val="singleLevel"/>
    <w:tmpl w:val="F60E58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3544"/>
    <w:rsid w:val="092E3093"/>
    <w:rsid w:val="0FC54CAE"/>
    <w:rsid w:val="14B956D7"/>
    <w:rsid w:val="1BC719FF"/>
    <w:rsid w:val="26A17E37"/>
    <w:rsid w:val="26EC6F8A"/>
    <w:rsid w:val="284F666D"/>
    <w:rsid w:val="299812D9"/>
    <w:rsid w:val="2FDE5654"/>
    <w:rsid w:val="362B659B"/>
    <w:rsid w:val="3630238C"/>
    <w:rsid w:val="3F537219"/>
    <w:rsid w:val="3FD74F56"/>
    <w:rsid w:val="41EE030E"/>
    <w:rsid w:val="43D73241"/>
    <w:rsid w:val="4DDE4053"/>
    <w:rsid w:val="4EB95262"/>
    <w:rsid w:val="4EBF1CDD"/>
    <w:rsid w:val="50330C82"/>
    <w:rsid w:val="519E150C"/>
    <w:rsid w:val="51B74284"/>
    <w:rsid w:val="56F156F8"/>
    <w:rsid w:val="59055A45"/>
    <w:rsid w:val="5F757259"/>
    <w:rsid w:val="61F54A40"/>
    <w:rsid w:val="67C73E3E"/>
    <w:rsid w:val="6926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846</Words>
  <Characters>910</Characters>
  <Lines>0</Lines>
  <Paragraphs>0</Paragraphs>
  <TotalTime>6</TotalTime>
  <ScaleCrop>false</ScaleCrop>
  <LinksUpToDate>false</LinksUpToDate>
  <CharactersWithSpaces>915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2024-12-18T06:39:00Z</dcterms:created>
  <dc:creator>Administrator</dc:creator>
  <cp:lastModifiedBy>大理州爱国卫生行动办</cp:lastModifiedBy>
  <dcterms:modified xsi:type="dcterms:W3CDTF">2024-12-26T02:17:41Z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80C1AE127F384414896E1ADAA35EE02E</vt:lpwstr>
  </property>
</Properties>
</file>